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0872" w:rsidRDefault="00CD0872" w:rsidP="00840E35">
      <w:pPr>
        <w:spacing w:after="0" w:line="240" w:lineRule="auto"/>
        <w:rPr>
          <w:b/>
          <w:sz w:val="24"/>
          <w:szCs w:val="24"/>
        </w:rPr>
      </w:pPr>
      <w:bookmarkStart w:id="0" w:name="_GoBack"/>
      <w:bookmarkEnd w:id="0"/>
      <w:r>
        <w:rPr>
          <w:b/>
          <w:sz w:val="24"/>
          <w:szCs w:val="24"/>
        </w:rPr>
        <w:t>WORKPAPER DISPOSITION FOR</w:t>
      </w:r>
    </w:p>
    <w:p w:rsidR="00CD0872" w:rsidRDefault="00B51373" w:rsidP="00840E35">
      <w:pPr>
        <w:spacing w:after="0" w:line="240" w:lineRule="auto"/>
        <w:rPr>
          <w:b/>
          <w:sz w:val="24"/>
          <w:szCs w:val="24"/>
        </w:rPr>
      </w:pPr>
      <w:r>
        <w:rPr>
          <w:b/>
          <w:sz w:val="24"/>
          <w:szCs w:val="24"/>
        </w:rPr>
        <w:t>Residential HVAC Quality Maintenance</w:t>
      </w:r>
    </w:p>
    <w:p w:rsidR="00CD0872" w:rsidRDefault="00CD0872" w:rsidP="00840E35">
      <w:pPr>
        <w:spacing w:after="0" w:line="240" w:lineRule="auto"/>
        <w:rPr>
          <w:b/>
          <w:sz w:val="24"/>
          <w:szCs w:val="24"/>
        </w:rPr>
      </w:pPr>
      <w:r>
        <w:rPr>
          <w:b/>
          <w:sz w:val="24"/>
          <w:szCs w:val="24"/>
        </w:rPr>
        <w:t>California Public Utilities Commission, Energy Division</w:t>
      </w:r>
    </w:p>
    <w:p w:rsidR="00CD0872" w:rsidRPr="001B1FBB" w:rsidRDefault="00E06E76">
      <w:r>
        <w:t>May 2</w:t>
      </w:r>
      <w:r w:rsidR="00B34F95">
        <w:t>, 2013</w:t>
      </w:r>
    </w:p>
    <w:p w:rsidR="00CD0872" w:rsidRPr="00E534A2" w:rsidRDefault="00CD0872" w:rsidP="00FB54E5">
      <w:r>
        <w:t xml:space="preserve">Refer to </w:t>
      </w:r>
      <w:r>
        <w:fldChar w:fldCharType="begin"/>
      </w:r>
      <w:r>
        <w:instrText xml:space="preserve"> REF _Ref324175084 \h </w:instrText>
      </w:r>
      <w:r>
        <w:fldChar w:fldCharType="separate"/>
      </w:r>
      <w:r w:rsidR="00C55387" w:rsidRPr="00E534A2">
        <w:t xml:space="preserve">Table </w:t>
      </w:r>
      <w:r w:rsidR="00C55387">
        <w:rPr>
          <w:noProof/>
        </w:rPr>
        <w:t>1</w:t>
      </w:r>
      <w:r>
        <w:fldChar w:fldCharType="end"/>
      </w:r>
      <w:r>
        <w:t xml:space="preserve"> for a list of currently submitted IOU workpapers that cover </w:t>
      </w:r>
      <w:r w:rsidR="00B51373">
        <w:t xml:space="preserve">Residential HVAC Rooftop </w:t>
      </w:r>
      <w:r w:rsidR="00055FC4">
        <w:t xml:space="preserve">Quality </w:t>
      </w:r>
      <w:r w:rsidR="00B51373">
        <w:t>Maintenance</w:t>
      </w:r>
      <w:r w:rsidR="00055FC4">
        <w:t xml:space="preserve"> (QM)</w:t>
      </w:r>
      <w:r w:rsidR="00B128E8">
        <w:t xml:space="preserve"> as part of statewide programs</w:t>
      </w:r>
      <w:r>
        <w:t>.</w:t>
      </w:r>
      <w:r w:rsidR="000F6A82">
        <w:t xml:space="preserve">  </w:t>
      </w:r>
      <w:fldSimple w:instr=" REF _Ref347390768 ">
        <w:r w:rsidR="005755B0" w:rsidRPr="00A14E41">
          <w:t xml:space="preserve">Table </w:t>
        </w:r>
        <w:r w:rsidR="005755B0">
          <w:rPr>
            <w:noProof/>
          </w:rPr>
          <w:t>2</w:t>
        </w:r>
      </w:fldSimple>
      <w:r w:rsidR="005755B0">
        <w:t xml:space="preserve"> list workpapers covered by this disposition in terms of their measure categories.</w:t>
      </w:r>
      <w:r w:rsidR="005755B0" w:rsidRPr="005755B0">
        <w:t xml:space="preserve"> </w:t>
      </w:r>
      <w:r w:rsidR="005755B0">
        <w:t xml:space="preserve">The embedded workbook, </w:t>
      </w:r>
      <w:r w:rsidR="005755B0" w:rsidRPr="005755B0">
        <w:rPr>
          <w:i/>
        </w:rPr>
        <w:t>“20132014-ResidentialHVACMaintenanceDisposition-April2013-v1-2.xlsx”,</w:t>
      </w:r>
      <w:r w:rsidR="005755B0" w:rsidRPr="00AA04DA">
        <w:t xml:space="preserve"> </w:t>
      </w:r>
      <w:r w:rsidR="005755B0">
        <w:t>includes staff approved savings values for individual treatments as well as combined savings values for comprehensive HVAC QM measures.</w:t>
      </w:r>
      <w:r w:rsidR="005755B0" w:rsidRPr="00AA04DA">
        <w:t xml:space="preserve">  As much as possible, </w:t>
      </w:r>
      <w:r w:rsidR="005755B0">
        <w:t>savings</w:t>
      </w:r>
      <w:r w:rsidR="005755B0" w:rsidRPr="00AA04DA">
        <w:t xml:space="preserve"> categories match those in the original work papers.</w:t>
      </w:r>
      <w:r w:rsidR="005755B0">
        <w:t xml:space="preserve">  The treatment-based values in this disposition have been applied to both the state-wide and local programs. That is, this document provides a uniform statewide disposition for all workpaper</w:t>
      </w:r>
      <w:r w:rsidR="00055FC4">
        <w:t>s</w:t>
      </w:r>
      <w:r w:rsidR="005755B0">
        <w:t xml:space="preserve"> list</w:t>
      </w:r>
      <w:r w:rsidR="00055FC4">
        <w:t>ed</w:t>
      </w:r>
      <w:r w:rsidR="005755B0">
        <w:t xml:space="preserve"> in </w:t>
      </w:r>
      <w:fldSimple w:instr=" REF _Ref347390768 ">
        <w:r w:rsidR="005755B0" w:rsidRPr="00A14E41">
          <w:t xml:space="preserve">Table </w:t>
        </w:r>
        <w:r w:rsidR="005755B0">
          <w:rPr>
            <w:noProof/>
          </w:rPr>
          <w:t>2</w:t>
        </w:r>
      </w:fldSimple>
      <w:r w:rsidR="005755B0">
        <w:t>.</w:t>
      </w:r>
    </w:p>
    <w:p w:rsidR="00CD0872" w:rsidRPr="00E534A2" w:rsidRDefault="00CD0872" w:rsidP="00CE171E">
      <w:pPr>
        <w:pStyle w:val="Caption"/>
        <w:keepNext/>
        <w:rPr>
          <w:sz w:val="22"/>
          <w:szCs w:val="22"/>
        </w:rPr>
      </w:pPr>
      <w:bookmarkStart w:id="1" w:name="_Ref324175084"/>
      <w:r w:rsidRPr="00E534A2">
        <w:rPr>
          <w:sz w:val="22"/>
          <w:szCs w:val="22"/>
        </w:rPr>
        <w:t xml:space="preserve">Table </w:t>
      </w:r>
      <w:r>
        <w:rPr>
          <w:sz w:val="22"/>
          <w:szCs w:val="22"/>
        </w:rPr>
        <w:fldChar w:fldCharType="begin"/>
      </w:r>
      <w:r>
        <w:rPr>
          <w:sz w:val="22"/>
          <w:szCs w:val="22"/>
        </w:rPr>
        <w:instrText xml:space="preserve"> SEQ Table \* ARABIC </w:instrText>
      </w:r>
      <w:r>
        <w:rPr>
          <w:sz w:val="22"/>
          <w:szCs w:val="22"/>
        </w:rPr>
        <w:fldChar w:fldCharType="separate"/>
      </w:r>
      <w:r w:rsidR="00C55387">
        <w:rPr>
          <w:noProof/>
          <w:sz w:val="22"/>
          <w:szCs w:val="22"/>
        </w:rPr>
        <w:t>1</w:t>
      </w:r>
      <w:r>
        <w:rPr>
          <w:sz w:val="22"/>
          <w:szCs w:val="22"/>
        </w:rPr>
        <w:fldChar w:fldCharType="end"/>
      </w:r>
      <w:bookmarkEnd w:id="1"/>
      <w:r w:rsidRPr="00E534A2">
        <w:rPr>
          <w:sz w:val="22"/>
          <w:szCs w:val="22"/>
        </w:rPr>
        <w:t xml:space="preserve"> - </w:t>
      </w:r>
      <w:r w:rsidR="00B51373">
        <w:rPr>
          <w:sz w:val="22"/>
          <w:szCs w:val="22"/>
        </w:rPr>
        <w:t xml:space="preserve">Residential HVAC Quality Maintenance </w:t>
      </w:r>
      <w:r w:rsidR="00055FC4">
        <w:rPr>
          <w:sz w:val="22"/>
          <w:szCs w:val="22"/>
        </w:rPr>
        <w:t>Workpapers</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70"/>
        <w:gridCol w:w="5462"/>
        <w:gridCol w:w="1784"/>
      </w:tblGrid>
      <w:tr w:rsidR="00CD0872" w:rsidRPr="008E6B1C" w:rsidTr="00B128E8">
        <w:tc>
          <w:tcPr>
            <w:tcW w:w="1970" w:type="dxa"/>
          </w:tcPr>
          <w:p w:rsidR="00CD0872" w:rsidRPr="008E6B1C" w:rsidRDefault="00CD0872" w:rsidP="008E6B1C">
            <w:pPr>
              <w:keepNext/>
              <w:spacing w:after="0" w:line="240" w:lineRule="auto"/>
              <w:rPr>
                <w:b/>
              </w:rPr>
            </w:pPr>
            <w:r w:rsidRPr="008E6B1C">
              <w:rPr>
                <w:b/>
              </w:rPr>
              <w:t>Workpaper ID</w:t>
            </w:r>
          </w:p>
        </w:tc>
        <w:tc>
          <w:tcPr>
            <w:tcW w:w="5462" w:type="dxa"/>
          </w:tcPr>
          <w:p w:rsidR="00CD0872" w:rsidRPr="008E6B1C" w:rsidRDefault="00CD0872" w:rsidP="008E6B1C">
            <w:pPr>
              <w:keepNext/>
              <w:spacing w:after="0" w:line="240" w:lineRule="auto"/>
              <w:rPr>
                <w:b/>
              </w:rPr>
            </w:pPr>
            <w:r w:rsidRPr="008E6B1C">
              <w:rPr>
                <w:b/>
              </w:rPr>
              <w:t>Workpaper Title</w:t>
            </w:r>
          </w:p>
        </w:tc>
        <w:tc>
          <w:tcPr>
            <w:tcW w:w="1784" w:type="dxa"/>
          </w:tcPr>
          <w:p w:rsidR="00CD0872" w:rsidRPr="008E6B1C" w:rsidRDefault="00CD0872" w:rsidP="008E6B1C">
            <w:pPr>
              <w:keepNext/>
              <w:spacing w:after="0" w:line="240" w:lineRule="auto"/>
              <w:rPr>
                <w:b/>
              </w:rPr>
            </w:pPr>
            <w:r w:rsidRPr="008E6B1C">
              <w:rPr>
                <w:b/>
              </w:rPr>
              <w:t>Date Submitted</w:t>
            </w:r>
          </w:p>
        </w:tc>
      </w:tr>
      <w:tr w:rsidR="00CD0872" w:rsidRPr="008E6B1C" w:rsidTr="00B128E8">
        <w:tc>
          <w:tcPr>
            <w:tcW w:w="1970" w:type="dxa"/>
            <w:tcBorders>
              <w:right w:val="nil"/>
            </w:tcBorders>
            <w:shd w:val="pct25" w:color="auto" w:fill="auto"/>
          </w:tcPr>
          <w:p w:rsidR="00CD0872" w:rsidRPr="008E6B1C" w:rsidRDefault="00CD0872" w:rsidP="008E6B1C">
            <w:pPr>
              <w:keepNext/>
              <w:spacing w:after="0" w:line="240" w:lineRule="auto"/>
              <w:rPr>
                <w:b/>
              </w:rPr>
            </w:pPr>
            <w:r w:rsidRPr="008E6B1C">
              <w:rPr>
                <w:b/>
              </w:rPr>
              <w:t>SDG&amp;E</w:t>
            </w:r>
          </w:p>
        </w:tc>
        <w:tc>
          <w:tcPr>
            <w:tcW w:w="5462" w:type="dxa"/>
            <w:tcBorders>
              <w:left w:val="nil"/>
              <w:right w:val="nil"/>
            </w:tcBorders>
            <w:shd w:val="pct25" w:color="auto" w:fill="auto"/>
          </w:tcPr>
          <w:p w:rsidR="00CD0872" w:rsidRPr="008E6B1C" w:rsidRDefault="00CD0872" w:rsidP="008E6B1C">
            <w:pPr>
              <w:keepNext/>
              <w:spacing w:after="0" w:line="240" w:lineRule="auto"/>
            </w:pPr>
          </w:p>
        </w:tc>
        <w:tc>
          <w:tcPr>
            <w:tcW w:w="1784" w:type="dxa"/>
            <w:tcBorders>
              <w:left w:val="nil"/>
            </w:tcBorders>
            <w:shd w:val="pct25" w:color="auto" w:fill="auto"/>
          </w:tcPr>
          <w:p w:rsidR="00CD0872" w:rsidRPr="008E6B1C" w:rsidRDefault="00CD0872" w:rsidP="008E6B1C">
            <w:pPr>
              <w:keepNext/>
              <w:spacing w:after="0" w:line="240" w:lineRule="auto"/>
              <w:jc w:val="right"/>
            </w:pPr>
          </w:p>
        </w:tc>
      </w:tr>
      <w:tr w:rsidR="00497640" w:rsidRPr="008E6B1C" w:rsidTr="00B128E8">
        <w:tc>
          <w:tcPr>
            <w:tcW w:w="1970" w:type="dxa"/>
          </w:tcPr>
          <w:p w:rsidR="00497640" w:rsidRPr="008E6B1C" w:rsidRDefault="00AA0D7B" w:rsidP="008E6B1C">
            <w:pPr>
              <w:spacing w:after="0" w:line="240" w:lineRule="auto"/>
            </w:pPr>
            <w:r w:rsidRPr="00AA0D7B">
              <w:t>WPSDGEREHC1065</w:t>
            </w:r>
          </w:p>
        </w:tc>
        <w:tc>
          <w:tcPr>
            <w:tcW w:w="5462" w:type="dxa"/>
          </w:tcPr>
          <w:p w:rsidR="00497640" w:rsidRPr="008E6B1C" w:rsidRDefault="00AA0D7B" w:rsidP="008E6B1C">
            <w:pPr>
              <w:spacing w:after="0" w:line="240" w:lineRule="auto"/>
            </w:pPr>
            <w:r w:rsidRPr="00AA0D7B">
              <w:t>Residential HVAC Quality Maintenance and Motor Retrofit</w:t>
            </w:r>
          </w:p>
        </w:tc>
        <w:tc>
          <w:tcPr>
            <w:tcW w:w="1784" w:type="dxa"/>
          </w:tcPr>
          <w:p w:rsidR="00497640" w:rsidRPr="008E6B1C" w:rsidRDefault="00497640" w:rsidP="00AA0D7B">
            <w:pPr>
              <w:spacing w:after="0" w:line="240" w:lineRule="auto"/>
              <w:jc w:val="right"/>
            </w:pPr>
            <w:r>
              <w:t>6/</w:t>
            </w:r>
            <w:r w:rsidR="00AA0D7B">
              <w:t>26</w:t>
            </w:r>
            <w:r>
              <w:t>/2012</w:t>
            </w:r>
          </w:p>
        </w:tc>
      </w:tr>
      <w:tr w:rsidR="00497640" w:rsidRPr="008E6B1C" w:rsidTr="00664F4D">
        <w:tc>
          <w:tcPr>
            <w:tcW w:w="1970" w:type="dxa"/>
            <w:tcBorders>
              <w:right w:val="nil"/>
            </w:tcBorders>
            <w:shd w:val="clear" w:color="auto" w:fill="BFBFBF"/>
          </w:tcPr>
          <w:p w:rsidR="00497640" w:rsidRPr="001E3388" w:rsidRDefault="00497640" w:rsidP="00664F4D">
            <w:pPr>
              <w:spacing w:after="0" w:line="240" w:lineRule="auto"/>
            </w:pPr>
            <w:r w:rsidRPr="008E6B1C">
              <w:rPr>
                <w:b/>
              </w:rPr>
              <w:t>SCE</w:t>
            </w:r>
          </w:p>
        </w:tc>
        <w:tc>
          <w:tcPr>
            <w:tcW w:w="5462" w:type="dxa"/>
            <w:tcBorders>
              <w:left w:val="nil"/>
              <w:right w:val="nil"/>
            </w:tcBorders>
            <w:shd w:val="clear" w:color="auto" w:fill="BFBFBF"/>
          </w:tcPr>
          <w:p w:rsidR="00497640" w:rsidRPr="00E6704F" w:rsidRDefault="00497640" w:rsidP="004569E9">
            <w:pPr>
              <w:spacing w:after="0" w:line="240" w:lineRule="auto"/>
            </w:pPr>
          </w:p>
        </w:tc>
        <w:tc>
          <w:tcPr>
            <w:tcW w:w="1784" w:type="dxa"/>
            <w:tcBorders>
              <w:left w:val="nil"/>
            </w:tcBorders>
            <w:shd w:val="clear" w:color="auto" w:fill="BFBFBF"/>
          </w:tcPr>
          <w:p w:rsidR="00497640" w:rsidRDefault="00497640" w:rsidP="004569E9">
            <w:pPr>
              <w:spacing w:after="0" w:line="240" w:lineRule="auto"/>
              <w:jc w:val="right"/>
            </w:pPr>
          </w:p>
        </w:tc>
      </w:tr>
      <w:tr w:rsidR="00497640" w:rsidRPr="008E6B1C" w:rsidTr="00664F4D">
        <w:tc>
          <w:tcPr>
            <w:tcW w:w="1970" w:type="dxa"/>
          </w:tcPr>
          <w:p w:rsidR="00497640" w:rsidRPr="008E6B1C" w:rsidRDefault="00497640" w:rsidP="00AA0D7B">
            <w:pPr>
              <w:keepNext/>
              <w:spacing w:after="0" w:line="240" w:lineRule="auto"/>
              <w:rPr>
                <w:b/>
              </w:rPr>
            </w:pPr>
            <w:r w:rsidRPr="00B51373">
              <w:t>SCE13HC03</w:t>
            </w:r>
            <w:r w:rsidR="00AA0D7B">
              <w:t>9</w:t>
            </w:r>
          </w:p>
        </w:tc>
        <w:tc>
          <w:tcPr>
            <w:tcW w:w="5462" w:type="dxa"/>
          </w:tcPr>
          <w:p w:rsidR="00497640" w:rsidRPr="008E6B1C" w:rsidRDefault="00AA0D7B" w:rsidP="008E6B1C">
            <w:pPr>
              <w:keepNext/>
              <w:spacing w:after="0" w:line="240" w:lineRule="auto"/>
            </w:pPr>
            <w:r w:rsidRPr="00AA0D7B">
              <w:t>Residential HVAC Quality Maintenance and Evaporator Motor Retrofit</w:t>
            </w:r>
          </w:p>
        </w:tc>
        <w:tc>
          <w:tcPr>
            <w:tcW w:w="1784" w:type="dxa"/>
          </w:tcPr>
          <w:p w:rsidR="00497640" w:rsidRPr="008E6B1C" w:rsidRDefault="00497640" w:rsidP="00497640">
            <w:pPr>
              <w:keepNext/>
              <w:spacing w:after="0" w:line="240" w:lineRule="auto"/>
              <w:jc w:val="right"/>
            </w:pPr>
            <w:r>
              <w:t>5/</w:t>
            </w:r>
            <w:r w:rsidR="00AA0D7B">
              <w:t>2</w:t>
            </w:r>
            <w:r>
              <w:t>9/20</w:t>
            </w:r>
            <w:r w:rsidRPr="00B51373">
              <w:t>12</w:t>
            </w:r>
          </w:p>
        </w:tc>
      </w:tr>
      <w:tr w:rsidR="00AA0D7B" w:rsidRPr="008E6B1C" w:rsidTr="00664F4D">
        <w:tc>
          <w:tcPr>
            <w:tcW w:w="1970" w:type="dxa"/>
          </w:tcPr>
          <w:p w:rsidR="00AA0D7B" w:rsidRPr="00B51373" w:rsidRDefault="00AA0D7B" w:rsidP="00AA0D7B">
            <w:pPr>
              <w:keepNext/>
              <w:spacing w:after="0" w:line="240" w:lineRule="auto"/>
            </w:pPr>
            <w:r w:rsidRPr="00AA0D7B">
              <w:t>SCE13HC028</w:t>
            </w:r>
          </w:p>
        </w:tc>
        <w:tc>
          <w:tcPr>
            <w:tcW w:w="5462" w:type="dxa"/>
          </w:tcPr>
          <w:p w:rsidR="00AA0D7B" w:rsidRPr="00AA0D7B" w:rsidRDefault="00AA0D7B" w:rsidP="008E6B1C">
            <w:pPr>
              <w:keepNext/>
              <w:spacing w:after="0" w:line="240" w:lineRule="auto"/>
            </w:pPr>
            <w:r w:rsidRPr="00AA0D7B">
              <w:t>Brushless Fan Motor for Residential Central AC</w:t>
            </w:r>
          </w:p>
        </w:tc>
        <w:tc>
          <w:tcPr>
            <w:tcW w:w="1784" w:type="dxa"/>
          </w:tcPr>
          <w:p w:rsidR="00AA0D7B" w:rsidRDefault="00AA0D7B" w:rsidP="00497640">
            <w:pPr>
              <w:keepNext/>
              <w:spacing w:after="0" w:line="240" w:lineRule="auto"/>
              <w:jc w:val="right"/>
            </w:pPr>
            <w:r>
              <w:t>4/13/2012</w:t>
            </w:r>
          </w:p>
        </w:tc>
      </w:tr>
      <w:tr w:rsidR="00497640" w:rsidRPr="008E6B1C" w:rsidTr="00664F4D">
        <w:tc>
          <w:tcPr>
            <w:tcW w:w="1970" w:type="dxa"/>
            <w:tcBorders>
              <w:right w:val="nil"/>
            </w:tcBorders>
            <w:shd w:val="pct25" w:color="auto" w:fill="auto"/>
          </w:tcPr>
          <w:p w:rsidR="00497640" w:rsidRPr="008E6B1C" w:rsidRDefault="00497640" w:rsidP="008E6B1C">
            <w:pPr>
              <w:keepNext/>
              <w:spacing w:after="0" w:line="240" w:lineRule="auto"/>
            </w:pPr>
            <w:r w:rsidRPr="008E6B1C">
              <w:rPr>
                <w:b/>
              </w:rPr>
              <w:t>PG&amp;E</w:t>
            </w:r>
          </w:p>
        </w:tc>
        <w:tc>
          <w:tcPr>
            <w:tcW w:w="5462" w:type="dxa"/>
            <w:tcBorders>
              <w:left w:val="nil"/>
              <w:right w:val="nil"/>
            </w:tcBorders>
            <w:shd w:val="pct25" w:color="auto" w:fill="auto"/>
          </w:tcPr>
          <w:p w:rsidR="00497640" w:rsidRPr="008E6B1C" w:rsidRDefault="00497640" w:rsidP="008E6B1C">
            <w:pPr>
              <w:keepNext/>
              <w:spacing w:after="0" w:line="240" w:lineRule="auto"/>
            </w:pPr>
          </w:p>
        </w:tc>
        <w:tc>
          <w:tcPr>
            <w:tcW w:w="1784" w:type="dxa"/>
            <w:tcBorders>
              <w:left w:val="nil"/>
            </w:tcBorders>
            <w:shd w:val="pct25" w:color="auto" w:fill="auto"/>
          </w:tcPr>
          <w:p w:rsidR="00497640" w:rsidRPr="008E6B1C" w:rsidRDefault="00497640" w:rsidP="008E6B1C">
            <w:pPr>
              <w:keepNext/>
              <w:spacing w:after="0" w:line="240" w:lineRule="auto"/>
              <w:jc w:val="right"/>
            </w:pPr>
          </w:p>
        </w:tc>
      </w:tr>
      <w:tr w:rsidR="00497640" w:rsidRPr="008E6B1C" w:rsidTr="00664F4D">
        <w:tc>
          <w:tcPr>
            <w:tcW w:w="1970" w:type="dxa"/>
          </w:tcPr>
          <w:p w:rsidR="00497640" w:rsidRPr="008E6B1C" w:rsidRDefault="00497640" w:rsidP="00AA0D7B">
            <w:pPr>
              <w:keepNext/>
              <w:spacing w:after="0" w:line="240" w:lineRule="auto"/>
              <w:rPr>
                <w:b/>
              </w:rPr>
            </w:pPr>
            <w:r w:rsidRPr="00B51373">
              <w:t>PGECOHVC13</w:t>
            </w:r>
            <w:r w:rsidR="00AA0D7B">
              <w:t>9</w:t>
            </w:r>
          </w:p>
        </w:tc>
        <w:tc>
          <w:tcPr>
            <w:tcW w:w="5462" w:type="dxa"/>
          </w:tcPr>
          <w:p w:rsidR="00497640" w:rsidRPr="008E6B1C" w:rsidRDefault="00AA0D7B" w:rsidP="008E6B1C">
            <w:pPr>
              <w:keepNext/>
              <w:spacing w:after="0" w:line="240" w:lineRule="auto"/>
            </w:pPr>
            <w:r w:rsidRPr="00AA0D7B">
              <w:t>Residential HVAC Quality Maintenance</w:t>
            </w:r>
          </w:p>
        </w:tc>
        <w:tc>
          <w:tcPr>
            <w:tcW w:w="1784" w:type="dxa"/>
          </w:tcPr>
          <w:p w:rsidR="00497640" w:rsidRPr="008E6B1C" w:rsidRDefault="00497640" w:rsidP="00AA0D7B">
            <w:pPr>
              <w:keepNext/>
              <w:spacing w:after="0" w:line="240" w:lineRule="auto"/>
              <w:jc w:val="right"/>
            </w:pPr>
            <w:r>
              <w:t>8</w:t>
            </w:r>
            <w:r w:rsidRPr="008E6B1C">
              <w:t>/</w:t>
            </w:r>
            <w:r>
              <w:t>2</w:t>
            </w:r>
            <w:r w:rsidR="00AA0D7B">
              <w:t>9</w:t>
            </w:r>
            <w:r w:rsidRPr="008E6B1C">
              <w:t>/201</w:t>
            </w:r>
            <w:r>
              <w:t>2</w:t>
            </w:r>
          </w:p>
        </w:tc>
      </w:tr>
    </w:tbl>
    <w:p w:rsidR="00CD0872" w:rsidRPr="008774A6" w:rsidRDefault="00CD0872" w:rsidP="00CE171E">
      <w:pPr>
        <w:ind w:left="360" w:hanging="360"/>
      </w:pPr>
    </w:p>
    <w:p w:rsidR="000D04A0" w:rsidRDefault="00CD0872" w:rsidP="00A14E41">
      <w:pPr>
        <w:keepNext/>
      </w:pPr>
      <w:r>
        <w:rPr>
          <w:b/>
          <w:u w:val="single"/>
        </w:rPr>
        <w:t>Workpaper Disposit</w:t>
      </w:r>
      <w:r w:rsidR="00055FC4">
        <w:rPr>
          <w:b/>
          <w:u w:val="single"/>
        </w:rPr>
        <w:t>i</w:t>
      </w:r>
      <w:r>
        <w:rPr>
          <w:b/>
          <w:u w:val="single"/>
        </w:rPr>
        <w:t>on:</w:t>
      </w:r>
      <w:r>
        <w:t xml:space="preserve"> Approved </w:t>
      </w:r>
      <w:r w:rsidR="00082CA9">
        <w:t xml:space="preserve">Pending the Following </w:t>
      </w:r>
      <w:r>
        <w:t>Revisions</w:t>
      </w:r>
    </w:p>
    <w:p w:rsidR="004569E9" w:rsidRDefault="00262028" w:rsidP="004569E9">
      <w:pPr>
        <w:pStyle w:val="ListParagraph"/>
        <w:numPr>
          <w:ilvl w:val="0"/>
          <w:numId w:val="3"/>
        </w:numPr>
        <w:contextualSpacing w:val="0"/>
      </w:pPr>
      <w:r w:rsidRPr="005755B0">
        <w:rPr>
          <w:u w:val="single"/>
        </w:rPr>
        <w:t>Revise Ex-Ante Claims Process</w:t>
      </w:r>
      <w:r>
        <w:t xml:space="preserve">:  </w:t>
      </w:r>
      <w:r w:rsidR="00B34F95">
        <w:t>Commission staff</w:t>
      </w:r>
      <w:r w:rsidR="00AA04DA" w:rsidRPr="00AA04DA">
        <w:t xml:space="preserve"> prefers that </w:t>
      </w:r>
      <w:r w:rsidR="00055FC4">
        <w:t>e</w:t>
      </w:r>
      <w:r w:rsidR="00AA04DA" w:rsidRPr="00AA04DA">
        <w:t>x</w:t>
      </w:r>
      <w:r w:rsidR="00055FC4">
        <w:t xml:space="preserve"> a</w:t>
      </w:r>
      <w:r w:rsidR="00AA04DA" w:rsidRPr="00AA04DA">
        <w:t xml:space="preserve">nte claims be based on the actual service tasks completed as part of the QM process.  Claim categories and savings should match those currently used to provide compensation to service providers. </w:t>
      </w:r>
      <w:r w:rsidR="00B34F95">
        <w:t xml:space="preserve">IOUs disagree with this approach and say that this process would be difficult to implement in their reporting systems. Staff prefers that ex-ante claims are to be based upon the service provider incentive structure in three broad categories as outlined in </w:t>
      </w:r>
      <w:r w:rsidR="00B34F95">
        <w:fldChar w:fldCharType="begin"/>
      </w:r>
      <w:r w:rsidR="00B34F95">
        <w:instrText xml:space="preserve"> REF _Ref347390768 \h </w:instrText>
      </w:r>
      <w:r w:rsidR="00B34F95">
        <w:fldChar w:fldCharType="separate"/>
      </w:r>
      <w:r w:rsidR="00B34F95" w:rsidRPr="00A14E41">
        <w:t xml:space="preserve">Table </w:t>
      </w:r>
      <w:r w:rsidR="00B34F95">
        <w:rPr>
          <w:noProof/>
        </w:rPr>
        <w:t>2</w:t>
      </w:r>
      <w:r w:rsidR="00B34F95">
        <w:fldChar w:fldCharType="end"/>
      </w:r>
      <w:r w:rsidR="00B34F95">
        <w:t>.  Note that a specific s</w:t>
      </w:r>
      <w:r w:rsidR="0067330C">
        <w:t>ervice i</w:t>
      </w:r>
      <w:r w:rsidR="00B34F95">
        <w:t>ncentive does not necessarily correspond directly to a</w:t>
      </w:r>
      <w:r w:rsidR="00055FC4">
        <w:t>ll</w:t>
      </w:r>
      <w:r w:rsidR="00B34F95">
        <w:t xml:space="preserve"> related workpaper</w:t>
      </w:r>
      <w:r w:rsidR="00055FC4">
        <w:t>s</w:t>
      </w:r>
      <w:r w:rsidR="00B34F95">
        <w:t xml:space="preserve"> in the adjacent column.  This tabl</w:t>
      </w:r>
      <w:r w:rsidR="005755B0">
        <w:t xml:space="preserve">e addresses both the statewide, </w:t>
      </w:r>
      <w:r w:rsidR="00B34F95">
        <w:t>local and 3</w:t>
      </w:r>
      <w:r w:rsidR="00B34F95" w:rsidRPr="005755B0">
        <w:rPr>
          <w:vertAlign w:val="superscript"/>
        </w:rPr>
        <w:t>rd</w:t>
      </w:r>
      <w:r w:rsidR="00B34F95">
        <w:t xml:space="preserve"> party programs.</w:t>
      </w:r>
    </w:p>
    <w:p w:rsidR="00E554EE" w:rsidRDefault="00E554EE" w:rsidP="005D345E">
      <w:pPr>
        <w:pStyle w:val="Caption"/>
        <w:keepNext/>
      </w:pPr>
      <w:bookmarkStart w:id="2" w:name="_Ref347390768"/>
      <w:r w:rsidRPr="00A14E41">
        <w:rPr>
          <w:sz w:val="22"/>
          <w:szCs w:val="22"/>
        </w:rPr>
        <w:lastRenderedPageBreak/>
        <w:t xml:space="preserve">Table </w:t>
      </w:r>
      <w:r w:rsidRPr="00A14E41">
        <w:rPr>
          <w:sz w:val="22"/>
          <w:szCs w:val="22"/>
        </w:rPr>
        <w:fldChar w:fldCharType="begin"/>
      </w:r>
      <w:r w:rsidRPr="00A14E41">
        <w:rPr>
          <w:sz w:val="22"/>
          <w:szCs w:val="22"/>
        </w:rPr>
        <w:instrText xml:space="preserve"> SEQ Table \* ARABIC </w:instrText>
      </w:r>
      <w:r w:rsidRPr="00A14E41">
        <w:rPr>
          <w:sz w:val="22"/>
          <w:szCs w:val="22"/>
        </w:rPr>
        <w:fldChar w:fldCharType="separate"/>
      </w:r>
      <w:r>
        <w:rPr>
          <w:noProof/>
          <w:sz w:val="22"/>
          <w:szCs w:val="22"/>
        </w:rPr>
        <w:t>2</w:t>
      </w:r>
      <w:r w:rsidRPr="00A14E41">
        <w:rPr>
          <w:sz w:val="22"/>
          <w:szCs w:val="22"/>
        </w:rPr>
        <w:fldChar w:fldCharType="end"/>
      </w:r>
      <w:bookmarkEnd w:id="2"/>
      <w:r w:rsidRPr="00A14E41">
        <w:rPr>
          <w:sz w:val="22"/>
          <w:szCs w:val="22"/>
        </w:rPr>
        <w:t xml:space="preserve"> </w:t>
      </w:r>
      <w:r>
        <w:rPr>
          <w:sz w:val="22"/>
          <w:szCs w:val="22"/>
        </w:rPr>
        <w:t>–</w:t>
      </w:r>
      <w:r w:rsidRPr="00A14E41">
        <w:rPr>
          <w:sz w:val="22"/>
          <w:szCs w:val="22"/>
        </w:rPr>
        <w:t xml:space="preserve"> </w:t>
      </w:r>
      <w:r w:rsidR="00A1122F">
        <w:rPr>
          <w:sz w:val="22"/>
          <w:szCs w:val="22"/>
        </w:rPr>
        <w:t>Workpaper Listing by Measure Category</w:t>
      </w:r>
    </w:p>
    <w:tbl>
      <w:tblPr>
        <w:tblW w:w="6620" w:type="dxa"/>
        <w:jc w:val="center"/>
        <w:tblLook w:val="04A0" w:firstRow="1" w:lastRow="0" w:firstColumn="1" w:lastColumn="0" w:noHBand="0" w:noVBand="1"/>
      </w:tblPr>
      <w:tblGrid>
        <w:gridCol w:w="1400"/>
        <w:gridCol w:w="3040"/>
        <w:gridCol w:w="2180"/>
      </w:tblGrid>
      <w:tr w:rsidR="005D345E" w:rsidRPr="005D345E" w:rsidTr="005D345E">
        <w:trPr>
          <w:trHeight w:val="615"/>
          <w:jc w:val="center"/>
        </w:trPr>
        <w:tc>
          <w:tcPr>
            <w:tcW w:w="1400" w:type="dxa"/>
            <w:tcBorders>
              <w:top w:val="single" w:sz="8" w:space="0" w:color="auto"/>
              <w:left w:val="single" w:sz="8" w:space="0" w:color="auto"/>
              <w:bottom w:val="nil"/>
              <w:right w:val="single" w:sz="8" w:space="0" w:color="auto"/>
            </w:tcBorders>
            <w:shd w:val="clear" w:color="000000" w:fill="BFBFBF"/>
            <w:vAlign w:val="center"/>
            <w:hideMark/>
          </w:tcPr>
          <w:p w:rsidR="005D345E" w:rsidRPr="005D345E" w:rsidRDefault="005D345E" w:rsidP="005D345E">
            <w:pPr>
              <w:keepNext/>
              <w:spacing w:after="0" w:line="240" w:lineRule="auto"/>
              <w:jc w:val="center"/>
              <w:rPr>
                <w:rFonts w:cs="Calibri"/>
                <w:b/>
                <w:bCs/>
                <w:color w:val="000000"/>
              </w:rPr>
            </w:pPr>
            <w:r w:rsidRPr="005D345E">
              <w:rPr>
                <w:rFonts w:cs="Calibri"/>
                <w:b/>
                <w:bCs/>
                <w:color w:val="000000"/>
              </w:rPr>
              <w:t>Measure Category</w:t>
            </w:r>
          </w:p>
        </w:tc>
        <w:tc>
          <w:tcPr>
            <w:tcW w:w="3040" w:type="dxa"/>
            <w:tcBorders>
              <w:top w:val="single" w:sz="8" w:space="0" w:color="auto"/>
              <w:left w:val="nil"/>
              <w:bottom w:val="nil"/>
              <w:right w:val="single" w:sz="8" w:space="0" w:color="auto"/>
            </w:tcBorders>
            <w:shd w:val="clear" w:color="000000" w:fill="BFBFBF"/>
            <w:noWrap/>
            <w:vAlign w:val="center"/>
            <w:hideMark/>
          </w:tcPr>
          <w:p w:rsidR="005D345E" w:rsidRPr="005D345E" w:rsidRDefault="005D345E" w:rsidP="005D345E">
            <w:pPr>
              <w:keepNext/>
              <w:spacing w:after="0" w:line="240" w:lineRule="auto"/>
              <w:jc w:val="center"/>
              <w:rPr>
                <w:rFonts w:cs="Calibri"/>
                <w:b/>
                <w:bCs/>
                <w:color w:val="000000"/>
              </w:rPr>
            </w:pPr>
            <w:r w:rsidRPr="005D345E">
              <w:rPr>
                <w:rFonts w:cs="Calibri"/>
                <w:b/>
                <w:bCs/>
                <w:color w:val="000000"/>
              </w:rPr>
              <w:t>Service Incentive</w:t>
            </w:r>
          </w:p>
        </w:tc>
        <w:tc>
          <w:tcPr>
            <w:tcW w:w="2180" w:type="dxa"/>
            <w:tcBorders>
              <w:top w:val="single" w:sz="8" w:space="0" w:color="auto"/>
              <w:left w:val="nil"/>
              <w:bottom w:val="nil"/>
              <w:right w:val="single" w:sz="8" w:space="0" w:color="auto"/>
            </w:tcBorders>
            <w:shd w:val="clear" w:color="000000" w:fill="BFBFBF"/>
            <w:vAlign w:val="center"/>
            <w:hideMark/>
          </w:tcPr>
          <w:p w:rsidR="005D345E" w:rsidRPr="005D345E" w:rsidRDefault="005D345E" w:rsidP="005D345E">
            <w:pPr>
              <w:keepNext/>
              <w:spacing w:after="0" w:line="240" w:lineRule="auto"/>
              <w:jc w:val="center"/>
              <w:rPr>
                <w:rFonts w:cs="Calibri"/>
                <w:b/>
                <w:bCs/>
                <w:color w:val="000000"/>
              </w:rPr>
            </w:pPr>
            <w:r w:rsidRPr="005D345E">
              <w:rPr>
                <w:rFonts w:cs="Calibri"/>
                <w:b/>
                <w:bCs/>
                <w:color w:val="000000"/>
              </w:rPr>
              <w:t>Related Workpapers</w:t>
            </w:r>
          </w:p>
        </w:tc>
      </w:tr>
      <w:tr w:rsidR="005D345E" w:rsidRPr="005D345E" w:rsidTr="005D345E">
        <w:trPr>
          <w:trHeight w:val="300"/>
          <w:jc w:val="center"/>
        </w:trPr>
        <w:tc>
          <w:tcPr>
            <w:tcW w:w="1400" w:type="dxa"/>
            <w:vMerge w:val="restart"/>
            <w:tcBorders>
              <w:top w:val="single" w:sz="8" w:space="0" w:color="auto"/>
              <w:left w:val="single" w:sz="8" w:space="0" w:color="auto"/>
              <w:bottom w:val="single" w:sz="4" w:space="0" w:color="auto"/>
              <w:right w:val="single" w:sz="4"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RCA</w:t>
            </w:r>
          </w:p>
        </w:tc>
        <w:tc>
          <w:tcPr>
            <w:tcW w:w="3040" w:type="dxa"/>
            <w:tcBorders>
              <w:top w:val="single" w:sz="8" w:space="0" w:color="auto"/>
              <w:left w:val="nil"/>
              <w:bottom w:val="nil"/>
              <w:right w:val="single" w:sz="4"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Adjust Airflow</w:t>
            </w:r>
          </w:p>
        </w:tc>
        <w:tc>
          <w:tcPr>
            <w:tcW w:w="2180" w:type="dxa"/>
            <w:tcBorders>
              <w:top w:val="single" w:sz="8" w:space="0" w:color="auto"/>
              <w:left w:val="nil"/>
              <w:bottom w:val="nil"/>
              <w:right w:val="single" w:sz="8"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WPSDGEREHC1065</w:t>
            </w:r>
          </w:p>
        </w:tc>
      </w:tr>
      <w:tr w:rsidR="005D345E" w:rsidRPr="005D345E" w:rsidTr="005D345E">
        <w:trPr>
          <w:trHeight w:val="300"/>
          <w:jc w:val="center"/>
        </w:trPr>
        <w:tc>
          <w:tcPr>
            <w:tcW w:w="1400" w:type="dxa"/>
            <w:vMerge/>
            <w:tcBorders>
              <w:top w:val="single" w:sz="8" w:space="0" w:color="auto"/>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tcBorders>
              <w:top w:val="nil"/>
              <w:left w:val="nil"/>
              <w:bottom w:val="nil"/>
              <w:right w:val="single" w:sz="4"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Refrigerant System Service</w:t>
            </w:r>
          </w:p>
        </w:tc>
        <w:tc>
          <w:tcPr>
            <w:tcW w:w="2180" w:type="dxa"/>
            <w:tcBorders>
              <w:top w:val="nil"/>
              <w:left w:val="nil"/>
              <w:bottom w:val="nil"/>
              <w:right w:val="single" w:sz="8" w:space="0" w:color="auto"/>
            </w:tcBorders>
            <w:vAlign w:val="center"/>
            <w:hideMark/>
          </w:tcPr>
          <w:p w:rsidR="005D345E" w:rsidRPr="005D345E" w:rsidRDefault="0067330C" w:rsidP="00055FC4">
            <w:pPr>
              <w:keepNext/>
              <w:spacing w:after="0" w:line="240" w:lineRule="auto"/>
              <w:jc w:val="center"/>
              <w:rPr>
                <w:rFonts w:cs="Calibri"/>
                <w:color w:val="000000"/>
              </w:rPr>
            </w:pPr>
            <w:r>
              <w:rPr>
                <w:rFonts w:cs="Calibri"/>
                <w:color w:val="000000"/>
              </w:rPr>
              <w:t>SCE13HC0</w:t>
            </w:r>
            <w:r w:rsidR="00055FC4">
              <w:rPr>
                <w:rFonts w:cs="Calibri"/>
                <w:color w:val="000000"/>
              </w:rPr>
              <w:t>3</w:t>
            </w:r>
            <w:r>
              <w:rPr>
                <w:rFonts w:cs="Calibri"/>
                <w:color w:val="000000"/>
              </w:rPr>
              <w:t>9</w:t>
            </w:r>
          </w:p>
        </w:tc>
      </w:tr>
      <w:tr w:rsidR="005D345E" w:rsidRPr="005D345E" w:rsidTr="005D345E">
        <w:trPr>
          <w:trHeight w:val="300"/>
          <w:jc w:val="center"/>
        </w:trPr>
        <w:tc>
          <w:tcPr>
            <w:tcW w:w="1400" w:type="dxa"/>
            <w:vMerge/>
            <w:tcBorders>
              <w:top w:val="single" w:sz="8" w:space="0" w:color="auto"/>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tcBorders>
              <w:top w:val="nil"/>
              <w:left w:val="nil"/>
              <w:bottom w:val="nil"/>
              <w:right w:val="single" w:sz="4"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Condenser Coil Cleaning</w:t>
            </w:r>
          </w:p>
        </w:tc>
        <w:tc>
          <w:tcPr>
            <w:tcW w:w="2180" w:type="dxa"/>
            <w:tcBorders>
              <w:top w:val="nil"/>
              <w:left w:val="nil"/>
              <w:bottom w:val="nil"/>
              <w:right w:val="single" w:sz="8" w:space="0" w:color="auto"/>
            </w:tcBorders>
            <w:noWrap/>
            <w:vAlign w:val="center"/>
            <w:hideMark/>
          </w:tcPr>
          <w:p w:rsidR="0067330C" w:rsidRPr="005D345E" w:rsidRDefault="005D345E" w:rsidP="0067330C">
            <w:pPr>
              <w:keepNext/>
              <w:spacing w:after="0" w:line="240" w:lineRule="auto"/>
              <w:jc w:val="center"/>
              <w:rPr>
                <w:rFonts w:cs="Calibri"/>
                <w:color w:val="000000"/>
              </w:rPr>
            </w:pPr>
            <w:r w:rsidRPr="005D345E">
              <w:rPr>
                <w:rFonts w:cs="Calibri"/>
                <w:color w:val="000000"/>
              </w:rPr>
              <w:t>PGECOHVC139</w:t>
            </w:r>
          </w:p>
        </w:tc>
      </w:tr>
      <w:tr w:rsidR="005D345E" w:rsidRPr="005D345E" w:rsidTr="005D345E">
        <w:trPr>
          <w:trHeight w:val="300"/>
          <w:jc w:val="center"/>
        </w:trPr>
        <w:tc>
          <w:tcPr>
            <w:tcW w:w="1400" w:type="dxa"/>
            <w:vMerge/>
            <w:tcBorders>
              <w:top w:val="single" w:sz="8" w:space="0" w:color="auto"/>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tcBorders>
              <w:top w:val="nil"/>
              <w:left w:val="nil"/>
              <w:bottom w:val="single" w:sz="4" w:space="0" w:color="auto"/>
              <w:right w:val="single" w:sz="4"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Evaporator Coil Cleaning</w:t>
            </w:r>
          </w:p>
        </w:tc>
        <w:tc>
          <w:tcPr>
            <w:tcW w:w="2180" w:type="dxa"/>
            <w:tcBorders>
              <w:top w:val="nil"/>
              <w:left w:val="nil"/>
              <w:bottom w:val="single" w:sz="4" w:space="0" w:color="auto"/>
              <w:right w:val="single" w:sz="8"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 </w:t>
            </w:r>
            <w:r w:rsidR="0067330C" w:rsidRPr="0067330C">
              <w:rPr>
                <w:rFonts w:cs="Calibri"/>
                <w:color w:val="000000"/>
              </w:rPr>
              <w:t>WPSDGERERN001</w:t>
            </w:r>
          </w:p>
        </w:tc>
      </w:tr>
      <w:tr w:rsidR="005D345E" w:rsidRPr="005D345E" w:rsidTr="005D345E">
        <w:trPr>
          <w:trHeight w:val="300"/>
          <w:jc w:val="center"/>
        </w:trPr>
        <w:tc>
          <w:tcPr>
            <w:tcW w:w="1400" w:type="dxa"/>
            <w:vMerge w:val="restart"/>
            <w:tcBorders>
              <w:top w:val="nil"/>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Duct Test and Seal</w:t>
            </w:r>
          </w:p>
        </w:tc>
        <w:tc>
          <w:tcPr>
            <w:tcW w:w="3040" w:type="dxa"/>
            <w:vMerge w:val="restart"/>
            <w:tcBorders>
              <w:top w:val="nil"/>
              <w:left w:val="single" w:sz="4" w:space="0" w:color="auto"/>
              <w:bottom w:val="single" w:sz="4" w:space="0" w:color="000000"/>
              <w:right w:val="single" w:sz="4"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Test and Seal Ductwork</w:t>
            </w:r>
          </w:p>
        </w:tc>
        <w:tc>
          <w:tcPr>
            <w:tcW w:w="2180" w:type="dxa"/>
            <w:tcBorders>
              <w:top w:val="nil"/>
              <w:left w:val="nil"/>
              <w:bottom w:val="nil"/>
              <w:right w:val="single" w:sz="8"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WPSDGEREHC1065</w:t>
            </w:r>
          </w:p>
        </w:tc>
      </w:tr>
      <w:tr w:rsidR="005D345E" w:rsidRPr="005D345E" w:rsidTr="005D345E">
        <w:trPr>
          <w:trHeight w:val="300"/>
          <w:jc w:val="center"/>
        </w:trPr>
        <w:tc>
          <w:tcPr>
            <w:tcW w:w="1400" w:type="dxa"/>
            <w:vMerge/>
            <w:tcBorders>
              <w:top w:val="nil"/>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vMerge/>
            <w:tcBorders>
              <w:top w:val="nil"/>
              <w:left w:val="single" w:sz="4" w:space="0" w:color="auto"/>
              <w:bottom w:val="single" w:sz="4"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2180" w:type="dxa"/>
            <w:tcBorders>
              <w:top w:val="nil"/>
              <w:left w:val="nil"/>
              <w:bottom w:val="nil"/>
              <w:right w:val="single" w:sz="8" w:space="0" w:color="auto"/>
            </w:tcBorders>
            <w:vAlign w:val="center"/>
            <w:hideMark/>
          </w:tcPr>
          <w:p w:rsidR="005D345E" w:rsidRPr="005D345E" w:rsidRDefault="0067330C" w:rsidP="00055FC4">
            <w:pPr>
              <w:keepNext/>
              <w:spacing w:after="0" w:line="240" w:lineRule="auto"/>
              <w:jc w:val="center"/>
              <w:rPr>
                <w:rFonts w:cs="Calibri"/>
                <w:color w:val="000000"/>
              </w:rPr>
            </w:pPr>
            <w:r>
              <w:rPr>
                <w:rFonts w:cs="Calibri"/>
                <w:color w:val="000000"/>
              </w:rPr>
              <w:t>SCE13HC0</w:t>
            </w:r>
            <w:r w:rsidR="00055FC4">
              <w:rPr>
                <w:rFonts w:cs="Calibri"/>
                <w:color w:val="000000"/>
              </w:rPr>
              <w:t>3</w:t>
            </w:r>
            <w:r>
              <w:rPr>
                <w:rFonts w:cs="Calibri"/>
                <w:color w:val="000000"/>
              </w:rPr>
              <w:t>9</w:t>
            </w:r>
          </w:p>
        </w:tc>
      </w:tr>
      <w:tr w:rsidR="005D345E" w:rsidRPr="005D345E" w:rsidTr="005D345E">
        <w:trPr>
          <w:trHeight w:val="300"/>
          <w:jc w:val="center"/>
        </w:trPr>
        <w:tc>
          <w:tcPr>
            <w:tcW w:w="1400" w:type="dxa"/>
            <w:vMerge/>
            <w:tcBorders>
              <w:top w:val="nil"/>
              <w:left w:val="single" w:sz="8" w:space="0" w:color="auto"/>
              <w:bottom w:val="single" w:sz="4" w:space="0" w:color="auto"/>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vMerge/>
            <w:tcBorders>
              <w:top w:val="nil"/>
              <w:left w:val="single" w:sz="4" w:space="0" w:color="auto"/>
              <w:bottom w:val="single" w:sz="4"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2180" w:type="dxa"/>
            <w:tcBorders>
              <w:top w:val="nil"/>
              <w:left w:val="nil"/>
              <w:bottom w:val="single" w:sz="4" w:space="0" w:color="auto"/>
              <w:right w:val="single" w:sz="8" w:space="0" w:color="auto"/>
            </w:tcBorders>
            <w:noWrap/>
            <w:vAlign w:val="center"/>
            <w:hideMark/>
          </w:tcPr>
          <w:p w:rsidR="005D345E" w:rsidRDefault="005D345E" w:rsidP="005D345E">
            <w:pPr>
              <w:keepNext/>
              <w:spacing w:after="0" w:line="240" w:lineRule="auto"/>
              <w:jc w:val="center"/>
              <w:rPr>
                <w:rFonts w:cs="Calibri"/>
                <w:color w:val="000000"/>
              </w:rPr>
            </w:pPr>
            <w:r w:rsidRPr="005D345E">
              <w:rPr>
                <w:rFonts w:cs="Calibri"/>
                <w:color w:val="000000"/>
              </w:rPr>
              <w:t>PGECOHVC139</w:t>
            </w:r>
          </w:p>
          <w:p w:rsidR="0067330C" w:rsidRPr="005D345E" w:rsidRDefault="0067330C" w:rsidP="005D345E">
            <w:pPr>
              <w:keepNext/>
              <w:spacing w:after="0" w:line="240" w:lineRule="auto"/>
              <w:jc w:val="center"/>
              <w:rPr>
                <w:rFonts w:cs="Calibri"/>
                <w:color w:val="000000"/>
              </w:rPr>
            </w:pPr>
            <w:r w:rsidRPr="0067330C">
              <w:rPr>
                <w:rFonts w:cs="Calibri"/>
                <w:color w:val="000000"/>
              </w:rPr>
              <w:t>WPDUCTSEAL2009</w:t>
            </w:r>
          </w:p>
        </w:tc>
      </w:tr>
      <w:tr w:rsidR="005D345E" w:rsidRPr="005D345E" w:rsidTr="005D345E">
        <w:trPr>
          <w:trHeight w:val="300"/>
          <w:jc w:val="center"/>
        </w:trPr>
        <w:tc>
          <w:tcPr>
            <w:tcW w:w="1400" w:type="dxa"/>
            <w:vMerge w:val="restart"/>
            <w:tcBorders>
              <w:top w:val="nil"/>
              <w:left w:val="single" w:sz="8" w:space="0" w:color="auto"/>
              <w:bottom w:val="single" w:sz="8" w:space="0" w:color="000000"/>
              <w:right w:val="single" w:sz="4"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Supply Blower Motor Retrofit</w:t>
            </w:r>
          </w:p>
        </w:tc>
        <w:tc>
          <w:tcPr>
            <w:tcW w:w="3040" w:type="dxa"/>
            <w:vMerge w:val="restart"/>
            <w:tcBorders>
              <w:top w:val="nil"/>
              <w:left w:val="single" w:sz="4" w:space="0" w:color="auto"/>
              <w:bottom w:val="single" w:sz="8" w:space="0" w:color="000000"/>
              <w:right w:val="single" w:sz="4" w:space="0" w:color="auto"/>
            </w:tcBorders>
            <w:noWrap/>
            <w:vAlign w:val="center"/>
            <w:hideMark/>
          </w:tcPr>
          <w:p w:rsidR="005D345E" w:rsidRPr="005D345E" w:rsidRDefault="00AA04DA" w:rsidP="005D345E">
            <w:pPr>
              <w:keepNext/>
              <w:spacing w:after="0" w:line="240" w:lineRule="auto"/>
              <w:jc w:val="center"/>
              <w:rPr>
                <w:rFonts w:cs="Calibri"/>
                <w:color w:val="000000"/>
              </w:rPr>
            </w:pPr>
            <w:r>
              <w:rPr>
                <w:rFonts w:cs="Calibri"/>
                <w:color w:val="000000"/>
              </w:rPr>
              <w:t>Supply Blower Mot</w:t>
            </w:r>
            <w:r w:rsidR="005D345E" w:rsidRPr="005D345E">
              <w:rPr>
                <w:rFonts w:cs="Calibri"/>
                <w:color w:val="000000"/>
              </w:rPr>
              <w:t>or Retrofit</w:t>
            </w:r>
          </w:p>
        </w:tc>
        <w:tc>
          <w:tcPr>
            <w:tcW w:w="2180" w:type="dxa"/>
            <w:tcBorders>
              <w:top w:val="nil"/>
              <w:left w:val="nil"/>
              <w:bottom w:val="nil"/>
              <w:right w:val="single" w:sz="8"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WPSDGEREHC1065</w:t>
            </w:r>
          </w:p>
        </w:tc>
      </w:tr>
      <w:tr w:rsidR="005D345E" w:rsidRPr="005D345E" w:rsidTr="005D345E">
        <w:trPr>
          <w:trHeight w:val="300"/>
          <w:jc w:val="center"/>
        </w:trPr>
        <w:tc>
          <w:tcPr>
            <w:tcW w:w="1400" w:type="dxa"/>
            <w:vMerge/>
            <w:tcBorders>
              <w:top w:val="nil"/>
              <w:left w:val="single" w:sz="8" w:space="0" w:color="auto"/>
              <w:bottom w:val="single" w:sz="8"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vMerge/>
            <w:tcBorders>
              <w:top w:val="nil"/>
              <w:left w:val="single" w:sz="4" w:space="0" w:color="auto"/>
              <w:bottom w:val="single" w:sz="8"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2180" w:type="dxa"/>
            <w:tcBorders>
              <w:top w:val="nil"/>
              <w:left w:val="nil"/>
              <w:bottom w:val="nil"/>
              <w:right w:val="single" w:sz="8" w:space="0" w:color="auto"/>
            </w:tcBorders>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SCE13HC039</w:t>
            </w:r>
          </w:p>
        </w:tc>
      </w:tr>
      <w:tr w:rsidR="005D345E" w:rsidRPr="005D345E" w:rsidTr="005D345E">
        <w:trPr>
          <w:trHeight w:val="300"/>
          <w:jc w:val="center"/>
        </w:trPr>
        <w:tc>
          <w:tcPr>
            <w:tcW w:w="1400" w:type="dxa"/>
            <w:vMerge/>
            <w:tcBorders>
              <w:top w:val="nil"/>
              <w:left w:val="single" w:sz="8" w:space="0" w:color="auto"/>
              <w:bottom w:val="single" w:sz="8"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3040" w:type="dxa"/>
            <w:vMerge/>
            <w:tcBorders>
              <w:top w:val="nil"/>
              <w:left w:val="single" w:sz="4" w:space="0" w:color="auto"/>
              <w:bottom w:val="single" w:sz="8" w:space="0" w:color="000000"/>
              <w:right w:val="single" w:sz="4" w:space="0" w:color="auto"/>
            </w:tcBorders>
            <w:vAlign w:val="center"/>
            <w:hideMark/>
          </w:tcPr>
          <w:p w:rsidR="005D345E" w:rsidRPr="005D345E" w:rsidRDefault="005D345E" w:rsidP="005D345E">
            <w:pPr>
              <w:keepNext/>
              <w:spacing w:after="0" w:line="240" w:lineRule="auto"/>
              <w:rPr>
                <w:rFonts w:cs="Calibri"/>
                <w:color w:val="000000"/>
              </w:rPr>
            </w:pPr>
          </w:p>
        </w:tc>
        <w:tc>
          <w:tcPr>
            <w:tcW w:w="2180" w:type="dxa"/>
            <w:tcBorders>
              <w:top w:val="nil"/>
              <w:left w:val="nil"/>
              <w:bottom w:val="nil"/>
              <w:right w:val="single" w:sz="8" w:space="0" w:color="auto"/>
            </w:tcBorders>
            <w:noWrap/>
            <w:vAlign w:val="center"/>
            <w:hideMark/>
          </w:tcPr>
          <w:p w:rsidR="005D345E" w:rsidRPr="005D345E" w:rsidRDefault="005D345E" w:rsidP="005D345E">
            <w:pPr>
              <w:keepNext/>
              <w:spacing w:after="0" w:line="240" w:lineRule="auto"/>
              <w:jc w:val="center"/>
              <w:rPr>
                <w:rFonts w:cs="Calibri"/>
                <w:color w:val="000000"/>
              </w:rPr>
            </w:pPr>
            <w:r w:rsidRPr="005D345E">
              <w:rPr>
                <w:rFonts w:cs="Calibri"/>
                <w:color w:val="000000"/>
              </w:rPr>
              <w:t>PGECOHVC139</w:t>
            </w:r>
          </w:p>
        </w:tc>
      </w:tr>
      <w:tr w:rsidR="005D345E" w:rsidRPr="005D345E" w:rsidTr="005D345E">
        <w:trPr>
          <w:trHeight w:val="315"/>
          <w:jc w:val="center"/>
        </w:trPr>
        <w:tc>
          <w:tcPr>
            <w:tcW w:w="1400" w:type="dxa"/>
            <w:vMerge/>
            <w:tcBorders>
              <w:top w:val="nil"/>
              <w:left w:val="single" w:sz="8" w:space="0" w:color="auto"/>
              <w:bottom w:val="single" w:sz="8" w:space="0" w:color="000000"/>
              <w:right w:val="single" w:sz="4" w:space="0" w:color="auto"/>
            </w:tcBorders>
            <w:vAlign w:val="center"/>
            <w:hideMark/>
          </w:tcPr>
          <w:p w:rsidR="005D345E" w:rsidRPr="005D345E" w:rsidRDefault="005D345E" w:rsidP="005D345E">
            <w:pPr>
              <w:spacing w:after="0" w:line="240" w:lineRule="auto"/>
              <w:rPr>
                <w:rFonts w:cs="Calibri"/>
                <w:color w:val="000000"/>
              </w:rPr>
            </w:pPr>
          </w:p>
        </w:tc>
        <w:tc>
          <w:tcPr>
            <w:tcW w:w="3040" w:type="dxa"/>
            <w:vMerge/>
            <w:tcBorders>
              <w:top w:val="nil"/>
              <w:left w:val="single" w:sz="4" w:space="0" w:color="auto"/>
              <w:bottom w:val="single" w:sz="8" w:space="0" w:color="000000"/>
              <w:right w:val="single" w:sz="4" w:space="0" w:color="auto"/>
            </w:tcBorders>
            <w:vAlign w:val="center"/>
            <w:hideMark/>
          </w:tcPr>
          <w:p w:rsidR="005D345E" w:rsidRPr="005D345E" w:rsidRDefault="005D345E" w:rsidP="005D345E">
            <w:pPr>
              <w:spacing w:after="0" w:line="240" w:lineRule="auto"/>
              <w:rPr>
                <w:rFonts w:cs="Calibri"/>
                <w:color w:val="000000"/>
              </w:rPr>
            </w:pPr>
          </w:p>
        </w:tc>
        <w:tc>
          <w:tcPr>
            <w:tcW w:w="2180" w:type="dxa"/>
            <w:tcBorders>
              <w:top w:val="nil"/>
              <w:left w:val="nil"/>
              <w:bottom w:val="single" w:sz="8" w:space="0" w:color="auto"/>
              <w:right w:val="single" w:sz="8" w:space="0" w:color="auto"/>
            </w:tcBorders>
            <w:noWrap/>
            <w:vAlign w:val="center"/>
            <w:hideMark/>
          </w:tcPr>
          <w:p w:rsidR="005D345E" w:rsidRPr="005D345E" w:rsidRDefault="005D345E" w:rsidP="005D345E">
            <w:pPr>
              <w:spacing w:after="0" w:line="240" w:lineRule="auto"/>
              <w:jc w:val="center"/>
              <w:rPr>
                <w:rFonts w:cs="Calibri"/>
                <w:color w:val="000000"/>
              </w:rPr>
            </w:pPr>
            <w:r w:rsidRPr="005D345E">
              <w:rPr>
                <w:rFonts w:cs="Calibri"/>
                <w:color w:val="000000"/>
              </w:rPr>
              <w:t>SCE13HC028</w:t>
            </w:r>
          </w:p>
        </w:tc>
      </w:tr>
    </w:tbl>
    <w:p w:rsidR="00E554EE" w:rsidRDefault="00E554EE" w:rsidP="004569E9">
      <w:pPr>
        <w:ind w:left="720"/>
      </w:pPr>
    </w:p>
    <w:p w:rsidR="005755B0" w:rsidRDefault="007A6E17" w:rsidP="007A6E17">
      <w:pPr>
        <w:pStyle w:val="ListParagraph"/>
        <w:numPr>
          <w:ilvl w:val="0"/>
          <w:numId w:val="28"/>
        </w:numPr>
      </w:pPr>
      <w:r>
        <w:rPr>
          <w:u w:val="single"/>
        </w:rPr>
        <w:t>Revise All U</w:t>
      </w:r>
      <w:r w:rsidR="00055FC4">
        <w:rPr>
          <w:u w:val="single"/>
        </w:rPr>
        <w:t xml:space="preserve">nit </w:t>
      </w:r>
      <w:r>
        <w:rPr>
          <w:u w:val="single"/>
        </w:rPr>
        <w:t>E</w:t>
      </w:r>
      <w:r w:rsidR="00055FC4">
        <w:rPr>
          <w:u w:val="single"/>
        </w:rPr>
        <w:t xml:space="preserve">nergy </w:t>
      </w:r>
      <w:r>
        <w:rPr>
          <w:u w:val="single"/>
        </w:rPr>
        <w:t>S</w:t>
      </w:r>
      <w:r w:rsidR="00055FC4">
        <w:rPr>
          <w:u w:val="single"/>
        </w:rPr>
        <w:t>avings (UES)</w:t>
      </w:r>
      <w:r>
        <w:rPr>
          <w:u w:val="single"/>
        </w:rPr>
        <w:t xml:space="preserve"> Values:</w:t>
      </w:r>
      <w:r>
        <w:t xml:space="preserve"> </w:t>
      </w:r>
      <w:r w:rsidR="005755B0">
        <w:t>UES values shall be obtained from the attached workbook “</w:t>
      </w:r>
      <w:r w:rsidR="005755B0">
        <w:rPr>
          <w:i/>
        </w:rPr>
        <w:t>20132014-Residential</w:t>
      </w:r>
      <w:r w:rsidR="005755B0" w:rsidRPr="00E64FBA">
        <w:rPr>
          <w:i/>
        </w:rPr>
        <w:t>HVACMaintenance-SavingsValues-</w:t>
      </w:r>
      <w:r w:rsidR="005755B0">
        <w:rPr>
          <w:i/>
        </w:rPr>
        <w:t>April2013-v1-2</w:t>
      </w:r>
      <w:r w:rsidR="005755B0" w:rsidRPr="00E64FBA">
        <w:rPr>
          <w:i/>
        </w:rPr>
        <w:t>.xlsx</w:t>
      </w:r>
      <w:r w:rsidR="005755B0">
        <w:t>.”</w:t>
      </w:r>
      <w:r w:rsidR="00441E22">
        <w:t xml:space="preserve"> </w:t>
      </w:r>
    </w:p>
    <w:p w:rsidR="007A6E17" w:rsidRDefault="007A6E17" w:rsidP="005755B0">
      <w:pPr>
        <w:ind w:left="720"/>
      </w:pPr>
      <w:r>
        <w:t>Commission staff developed these values considering the following:</w:t>
      </w:r>
    </w:p>
    <w:p w:rsidR="007A6E17" w:rsidRDefault="007A6E17" w:rsidP="007A6E17">
      <w:pPr>
        <w:pStyle w:val="ListParagraph"/>
        <w:numPr>
          <w:ilvl w:val="1"/>
          <w:numId w:val="28"/>
        </w:numPr>
      </w:pPr>
      <w:r w:rsidRPr="00E6704F">
        <w:t xml:space="preserve">Projected </w:t>
      </w:r>
      <w:r>
        <w:t xml:space="preserve">savings for many of the components of the </w:t>
      </w:r>
      <w:r w:rsidR="00055FC4">
        <w:t>QM</w:t>
      </w:r>
      <w:r>
        <w:t xml:space="preserve"> programs remain difficult to obtain</w:t>
      </w:r>
      <w:r w:rsidR="00055FC4">
        <w:t xml:space="preserve"> because</w:t>
      </w:r>
      <w:r>
        <w:t xml:space="preserve"> skilled maintenance technicians </w:t>
      </w:r>
      <w:r w:rsidR="00055FC4">
        <w:t xml:space="preserve">are required </w:t>
      </w:r>
      <w:r>
        <w:t>to realize anticipated program benefits.  The use of incorrect maintenance techniques, test and repair equipment, and procedures can result in a decrease in cooling system efficiency and/or increase in system operation – both generating negative energy savings.  These are not only undesired result</w:t>
      </w:r>
      <w:r w:rsidR="00055FC4">
        <w:t>s</w:t>
      </w:r>
      <w:r>
        <w:t>, but act to offset benefits obtained at properly maintained sites.</w:t>
      </w:r>
    </w:p>
    <w:p w:rsidR="007A6E17" w:rsidRDefault="007A6E17" w:rsidP="007A6E17">
      <w:pPr>
        <w:pStyle w:val="ListParagraph"/>
        <w:numPr>
          <w:ilvl w:val="1"/>
          <w:numId w:val="28"/>
        </w:numPr>
      </w:pPr>
      <w:r>
        <w:t>All U</w:t>
      </w:r>
      <w:r w:rsidR="00055FC4">
        <w:t>E</w:t>
      </w:r>
      <w:r>
        <w:t xml:space="preserve">S values should be based on published DEER values where at all possible.  In addition, the use of those values must account for the DEER applicability limits when they occur.  An example is refrigerant charge adjustment.  Published DEER values accrue only if the addition or removal of refrigerant charge equals or exceeds 10% on the unit’s nominal total refrigerant charge. </w:t>
      </w:r>
    </w:p>
    <w:p w:rsidR="005755B0" w:rsidRDefault="007A6E17" w:rsidP="005755B0">
      <w:pPr>
        <w:pStyle w:val="ListParagraph"/>
        <w:numPr>
          <w:ilvl w:val="1"/>
          <w:numId w:val="28"/>
        </w:numPr>
      </w:pPr>
      <w:r>
        <w:t xml:space="preserve">The </w:t>
      </w:r>
      <w:r w:rsidRPr="00BD0C4E">
        <w:rPr>
          <w:i/>
        </w:rPr>
        <w:t>Restore and Improve Duct System Insulation</w:t>
      </w:r>
      <w:r w:rsidRPr="005D345E">
        <w:t xml:space="preserve"> </w:t>
      </w:r>
      <w:r>
        <w:t xml:space="preserve">treatment is not approved.  </w:t>
      </w:r>
      <w:r w:rsidR="00055FC4">
        <w:t>Commission s</w:t>
      </w:r>
      <w:r w:rsidR="003105D9">
        <w:t xml:space="preserve">taff </w:t>
      </w:r>
      <w:r w:rsidR="00055FC4">
        <w:t xml:space="preserve">finds </w:t>
      </w:r>
      <w:r w:rsidR="003105D9">
        <w:t xml:space="preserve">there </w:t>
      </w:r>
      <w:r w:rsidR="00055FC4">
        <w:t xml:space="preserve">are </w:t>
      </w:r>
      <w:r w:rsidR="003105D9">
        <w:t>not adequate field data to support this measure at this time.</w:t>
      </w:r>
      <w:r>
        <w:t xml:space="preserve">  This measure can reinstated if reasonable data are provided to support savings assumptions.  The </w:t>
      </w:r>
      <w:r w:rsidRPr="006A2E34">
        <w:rPr>
          <w:i/>
        </w:rPr>
        <w:t>Refurbish Duct</w:t>
      </w:r>
      <w:r>
        <w:t xml:space="preserve"> treatment is allowed with savings based upon air flow adjustments in the attached UES workbook </w:t>
      </w:r>
      <w:r w:rsidR="003105D9">
        <w:t>“</w:t>
      </w:r>
      <w:r w:rsidR="003105D9">
        <w:rPr>
          <w:i/>
        </w:rPr>
        <w:t>20132014-Residential</w:t>
      </w:r>
      <w:r w:rsidR="003105D9" w:rsidRPr="00E64FBA">
        <w:rPr>
          <w:i/>
        </w:rPr>
        <w:t>HVACMaintenance-SavingsValues-</w:t>
      </w:r>
      <w:r w:rsidR="003105D9">
        <w:rPr>
          <w:i/>
        </w:rPr>
        <w:t>April2013-v1-2</w:t>
      </w:r>
      <w:r w:rsidR="003105D9" w:rsidRPr="00E64FBA">
        <w:rPr>
          <w:i/>
        </w:rPr>
        <w:t>.xlsx</w:t>
      </w:r>
      <w:r w:rsidR="003105D9">
        <w:t>” as discussed in Attachment A.</w:t>
      </w:r>
    </w:p>
    <w:p w:rsidR="005755B0" w:rsidRDefault="005755B0" w:rsidP="005755B0">
      <w:pPr>
        <w:pStyle w:val="ListParagraph"/>
        <w:ind w:left="1440"/>
      </w:pPr>
    </w:p>
    <w:p w:rsidR="003105D9" w:rsidRPr="003105D9" w:rsidRDefault="007A6E17" w:rsidP="007A6E17">
      <w:pPr>
        <w:pStyle w:val="ListParagraph"/>
        <w:numPr>
          <w:ilvl w:val="0"/>
          <w:numId w:val="28"/>
        </w:numPr>
      </w:pPr>
      <w:r w:rsidRPr="003105D9">
        <w:rPr>
          <w:u w:val="single"/>
        </w:rPr>
        <w:lastRenderedPageBreak/>
        <w:t>Installation Rates Must be Considered in Calculation of the Overall Savings:</w:t>
      </w:r>
      <w:r>
        <w:t xml:space="preserve"> The Commission has published installation rates for </w:t>
      </w:r>
      <w:r w:rsidR="00055FC4">
        <w:t>refrigerant charge adjustment (</w:t>
      </w:r>
      <w:r>
        <w:t>RCA</w:t>
      </w:r>
      <w:r w:rsidR="00055FC4">
        <w:t>)</w:t>
      </w:r>
      <w:r>
        <w:t xml:space="preserve"> and Duct Sealing measures. However, the installation rate for all other measures is assumed to be 1. Therefore, the overall savings of the QM package must be calculated as the sum-product of individual savings values times their respective installation rates times their expected incidence fractions. This calculation is included in the workbook </w:t>
      </w:r>
      <w:r w:rsidR="003105D9">
        <w:t>“</w:t>
      </w:r>
      <w:r w:rsidR="003105D9" w:rsidRPr="003105D9">
        <w:rPr>
          <w:i/>
        </w:rPr>
        <w:t>20132014-ResidentialHVACMaintenance-SavingsValues-April2013-v1-2.xlsx</w:t>
      </w:r>
      <w:r w:rsidR="00DE106F">
        <w:rPr>
          <w:i/>
        </w:rPr>
        <w:t>.”</w:t>
      </w:r>
    </w:p>
    <w:p w:rsidR="007A6E17" w:rsidRDefault="007A6E17" w:rsidP="007A6E17">
      <w:pPr>
        <w:pStyle w:val="ListParagraph"/>
        <w:numPr>
          <w:ilvl w:val="0"/>
          <w:numId w:val="28"/>
        </w:numPr>
      </w:pPr>
      <w:r w:rsidRPr="003105D9">
        <w:rPr>
          <w:u w:val="single"/>
        </w:rPr>
        <w:t>EUL Shall be 5 years:</w:t>
      </w:r>
      <w:r>
        <w:t xml:space="preserve"> The EUL shall be 5 years, which is the RUL of package equipment being treated.</w:t>
      </w:r>
    </w:p>
    <w:p w:rsidR="007A6E17" w:rsidRDefault="007A6E17" w:rsidP="007A6E17">
      <w:pPr>
        <w:pStyle w:val="ListParagraph"/>
        <w:numPr>
          <w:ilvl w:val="0"/>
          <w:numId w:val="28"/>
        </w:numPr>
      </w:pPr>
      <w:r>
        <w:rPr>
          <w:u w:val="single"/>
        </w:rPr>
        <w:t>NTG Shall be 0.70:</w:t>
      </w:r>
      <w:r>
        <w:t xml:space="preserve"> The NTG shall be 0.70, which is the DEER value for all other residential measures with moderate market share and no convincing strategies to discourage free ridership.</w:t>
      </w:r>
    </w:p>
    <w:p w:rsidR="007A6E17" w:rsidRDefault="007A6E17" w:rsidP="007A6E17">
      <w:pPr>
        <w:pStyle w:val="ListParagraph"/>
        <w:numPr>
          <w:ilvl w:val="0"/>
          <w:numId w:val="28"/>
        </w:numPr>
      </w:pPr>
      <w:r>
        <w:rPr>
          <w:u w:val="single"/>
        </w:rPr>
        <w:t>Blower Replacement Disposition is Included in Attachment C:</w:t>
      </w:r>
      <w:r>
        <w:t xml:space="preserve"> Refer to Attachment C for complete disposition on blower motor replacement measures.</w:t>
      </w:r>
    </w:p>
    <w:p w:rsidR="00CD0872" w:rsidRDefault="00CD0872" w:rsidP="00AF3D26">
      <w:pPr>
        <w:keepNext/>
        <w:rPr>
          <w:b/>
          <w:u w:val="single"/>
        </w:rPr>
      </w:pPr>
      <w:r>
        <w:rPr>
          <w:b/>
          <w:u w:val="single"/>
        </w:rPr>
        <w:t xml:space="preserve">Background for Workpaper </w:t>
      </w:r>
      <w:r w:rsidR="00E60ACE">
        <w:rPr>
          <w:b/>
          <w:u w:val="single"/>
        </w:rPr>
        <w:t xml:space="preserve">Treatment-Specific </w:t>
      </w:r>
      <w:r>
        <w:rPr>
          <w:b/>
          <w:u w:val="single"/>
        </w:rPr>
        <w:t>Dispositions</w:t>
      </w:r>
    </w:p>
    <w:p w:rsidR="00441E22" w:rsidRDefault="00441E22" w:rsidP="00441E22">
      <w:r>
        <w:t xml:space="preserve">Commission staff believes that the proposed ex ante values are </w:t>
      </w:r>
      <w:r w:rsidR="00055FC4">
        <w:t xml:space="preserve">overly </w:t>
      </w:r>
      <w:r>
        <w:t>optimistic. These concerns have been voiced in past workpaper reviews and project coordination reviews.  They include baseline issues that are not fully supported, savings assumptions that remain in question</w:t>
      </w:r>
      <w:r w:rsidR="00055FC4">
        <w:t>,</w:t>
      </w:r>
      <w:r>
        <w:t xml:space="preserve"> and program implementation issues that have the potential to adversely affect program benefits.  Staff understands the time and effort required to fully implement these programs, and this review is based on staff’s best evaluation of the programs’ current ability to deliver savings.</w:t>
      </w:r>
    </w:p>
    <w:p w:rsidR="00441E22" w:rsidRDefault="00441E22" w:rsidP="00441E22">
      <w:r w:rsidRPr="004B5F0C">
        <w:t>A review of baseline assumptions used in the estimation of ex</w:t>
      </w:r>
      <w:r w:rsidR="00055FC4">
        <w:t xml:space="preserve"> </w:t>
      </w:r>
      <w:r w:rsidRPr="004B5F0C">
        <w:t xml:space="preserve">ante savings is believed to be overly pessimistic in the relative occurrence </w:t>
      </w:r>
      <w:r>
        <w:t>of faults.</w:t>
      </w:r>
      <w:r w:rsidRPr="004B5F0C">
        <w:t xml:space="preserve"> These concerns were outlined specifically in the disposition of the SCE 2010-2012 QM workpaper and in co</w:t>
      </w:r>
      <w:r>
        <w:t xml:space="preserve">ordination meetings with PG&amp;E. </w:t>
      </w:r>
      <w:r w:rsidRPr="004B5F0C">
        <w:t>The assumed treatment weightings used to combine treatment savings values are provided in the HVAC QM Savings tab in the combined savings workbook – “</w:t>
      </w:r>
      <w:r>
        <w:rPr>
          <w:i/>
        </w:rPr>
        <w:t>20132014-Residential</w:t>
      </w:r>
      <w:r w:rsidRPr="00441E22">
        <w:rPr>
          <w:i/>
        </w:rPr>
        <w:t>HVACMaintenance-SavingsValues-April2013-v1-2.xlsx.”</w:t>
      </w:r>
      <w:r>
        <w:t xml:space="preserve"> Refer to cells Q4 through D9 in the “</w:t>
      </w:r>
      <w:r>
        <w:rPr>
          <w:i/>
        </w:rPr>
        <w:t>Res_HVAC-QM_</w:t>
      </w:r>
      <w:r w:rsidRPr="00441E22">
        <w:rPr>
          <w:i/>
        </w:rPr>
        <w:t xml:space="preserve">Savings” </w:t>
      </w:r>
      <w:r>
        <w:t>tab for the values staff has used for the expected incidence of treatment.</w:t>
      </w:r>
    </w:p>
    <w:p w:rsidR="00CD0872" w:rsidRDefault="00747FAC" w:rsidP="00AF3D26">
      <w:r>
        <w:t xml:space="preserve">The following </w:t>
      </w:r>
      <w:r w:rsidR="004215BF">
        <w:t xml:space="preserve">attachments provide details on the assumptions and base values used to produce accepted UES values and their associated </w:t>
      </w:r>
      <w:r w:rsidR="00DF4B30">
        <w:t>i</w:t>
      </w:r>
      <w:r w:rsidR="003D4788">
        <w:t xml:space="preserve">nstallation </w:t>
      </w:r>
      <w:r w:rsidR="00DF4B30">
        <w:t>r</w:t>
      </w:r>
      <w:r w:rsidR="003D4788">
        <w:t>ates</w:t>
      </w:r>
      <w:r w:rsidR="004215BF">
        <w:t xml:space="preserve">.  Each attachment details the source of </w:t>
      </w:r>
      <w:r w:rsidR="003D4788">
        <w:t>UES</w:t>
      </w:r>
      <w:r w:rsidR="004215BF">
        <w:t xml:space="preserve"> values, </w:t>
      </w:r>
      <w:r w:rsidR="003D4788">
        <w:t>application of IR values</w:t>
      </w:r>
      <w:r w:rsidR="004215BF">
        <w:t xml:space="preserve">, accepted net-to-gross values and appropriate </w:t>
      </w:r>
      <w:r w:rsidR="003D4788">
        <w:t>EUL</w:t>
      </w:r>
      <w:r w:rsidR="004215BF">
        <w:t xml:space="preserve"> values.</w:t>
      </w:r>
    </w:p>
    <w:p w:rsidR="00747FAC" w:rsidRDefault="004215BF" w:rsidP="00AF3D26">
      <w:pPr>
        <w:pStyle w:val="ListParagraph"/>
        <w:numPr>
          <w:ilvl w:val="0"/>
          <w:numId w:val="21"/>
        </w:numPr>
      </w:pPr>
      <w:r>
        <w:t xml:space="preserve">Attachment A - </w:t>
      </w:r>
      <w:r w:rsidRPr="004215BF">
        <w:t xml:space="preserve">Background for RCA Related </w:t>
      </w:r>
      <w:r w:rsidR="00A62917">
        <w:t>UES</w:t>
      </w:r>
      <w:r w:rsidRPr="004215BF">
        <w:t xml:space="preserve"> Values</w:t>
      </w:r>
      <w:r>
        <w:t xml:space="preserve">.  This attachment details the </w:t>
      </w:r>
      <w:r w:rsidR="004A4FCD">
        <w:t xml:space="preserve">development of UES and </w:t>
      </w:r>
      <w:r w:rsidR="00DF4B30">
        <w:t>installation</w:t>
      </w:r>
      <w:r w:rsidR="004A4FCD">
        <w:t xml:space="preserve"> </w:t>
      </w:r>
      <w:r w:rsidR="006A2E34">
        <w:t xml:space="preserve">rate </w:t>
      </w:r>
      <w:r w:rsidR="004A4FCD">
        <w:t>values for</w:t>
      </w:r>
      <w:r>
        <w:t xml:space="preserve"> refrigerant charge adjustment, condenser and evaporator coil cleaning, and air flow adjustment tasks</w:t>
      </w:r>
      <w:r w:rsidR="00747FAC">
        <w:t xml:space="preserve">.  </w:t>
      </w:r>
    </w:p>
    <w:p w:rsidR="004215BF" w:rsidRDefault="00AF3D26" w:rsidP="00AF3D26">
      <w:pPr>
        <w:pStyle w:val="ListParagraph"/>
        <w:numPr>
          <w:ilvl w:val="0"/>
          <w:numId w:val="21"/>
        </w:numPr>
      </w:pPr>
      <w:r>
        <w:t>Attachment</w:t>
      </w:r>
      <w:r w:rsidR="004215BF">
        <w:t xml:space="preserve"> B - </w:t>
      </w:r>
      <w:r w:rsidR="004215BF" w:rsidRPr="004215BF">
        <w:t xml:space="preserve">Background for </w:t>
      </w:r>
      <w:r w:rsidR="00DF4B30">
        <w:t>Duct Test</w:t>
      </w:r>
      <w:r w:rsidR="007D4E1D">
        <w:t>ing</w:t>
      </w:r>
      <w:r w:rsidR="00DF4B30">
        <w:t xml:space="preserve"> and Seal</w:t>
      </w:r>
      <w:r w:rsidR="007D4E1D">
        <w:t>ing</w:t>
      </w:r>
      <w:r w:rsidR="00DF4B30">
        <w:t xml:space="preserve"> (</w:t>
      </w:r>
      <w:r>
        <w:t>DTS</w:t>
      </w:r>
      <w:r w:rsidR="00DF4B30">
        <w:t>)</w:t>
      </w:r>
      <w:r w:rsidR="00A62917">
        <w:t xml:space="preserve"> Related UES</w:t>
      </w:r>
      <w:r w:rsidR="004215BF" w:rsidRPr="004215BF">
        <w:t xml:space="preserve"> Values</w:t>
      </w:r>
      <w:r w:rsidR="004215BF">
        <w:t xml:space="preserve">.  This attachment details the </w:t>
      </w:r>
      <w:r w:rsidR="004A4FCD">
        <w:t xml:space="preserve">development of UES and </w:t>
      </w:r>
      <w:r w:rsidR="0028074D">
        <w:t xml:space="preserve">installation rate </w:t>
      </w:r>
      <w:r w:rsidR="004A4FCD">
        <w:t xml:space="preserve">values for </w:t>
      </w:r>
      <w:r>
        <w:t>duct test and seal treatments</w:t>
      </w:r>
      <w:r w:rsidR="004215BF">
        <w:t xml:space="preserve">.  </w:t>
      </w:r>
    </w:p>
    <w:p w:rsidR="00747FAC" w:rsidRDefault="004A4FCD" w:rsidP="00AF3D26">
      <w:pPr>
        <w:pStyle w:val="ListParagraph"/>
        <w:numPr>
          <w:ilvl w:val="0"/>
          <w:numId w:val="21"/>
        </w:numPr>
      </w:pPr>
      <w:r>
        <w:lastRenderedPageBreak/>
        <w:t xml:space="preserve">Attachment C - </w:t>
      </w:r>
      <w:r w:rsidR="00AF3D26" w:rsidRPr="00AF3D26">
        <w:t>Background for Residential Blower Motor Replacement U</w:t>
      </w:r>
      <w:r w:rsidR="00DF4B30">
        <w:t>E</w:t>
      </w:r>
      <w:r w:rsidR="00AF3D26" w:rsidRPr="00AF3D26">
        <w:t>S Values</w:t>
      </w:r>
      <w:r>
        <w:t xml:space="preserve">.  This attachment details the development of UES values for </w:t>
      </w:r>
      <w:r w:rsidR="00AF3D26">
        <w:t xml:space="preserve">the replacement of supply air blower standard </w:t>
      </w:r>
      <w:r w:rsidR="00DF4B30">
        <w:t>permanent split capacitor (</w:t>
      </w:r>
      <w:r w:rsidR="00AF3D26">
        <w:t>PSC</w:t>
      </w:r>
      <w:r w:rsidR="00DF4B30">
        <w:t>)</w:t>
      </w:r>
      <w:r w:rsidR="00AF3D26">
        <w:t xml:space="preserve"> motors with more efficient </w:t>
      </w:r>
      <w:r w:rsidR="00DF4B30">
        <w:t>brushless permanent magnet (</w:t>
      </w:r>
      <w:r w:rsidR="00AF3D26">
        <w:t>BPM</w:t>
      </w:r>
      <w:r w:rsidR="00DF4B30">
        <w:t>)</w:t>
      </w:r>
      <w:r w:rsidR="00AF3D26">
        <w:t xml:space="preserve"> motors</w:t>
      </w:r>
      <w:r>
        <w:t>.</w:t>
      </w:r>
    </w:p>
    <w:p w:rsidR="00AF3D26" w:rsidRPr="00441E22" w:rsidRDefault="004A4FCD" w:rsidP="00441E22">
      <w:pPr>
        <w:spacing w:after="0" w:line="240" w:lineRule="auto"/>
      </w:pPr>
      <w:r>
        <w:br w:type="page"/>
      </w:r>
      <w:r w:rsidR="00AF3D26">
        <w:rPr>
          <w:rFonts w:cs="Calibri"/>
          <w:b/>
          <w:bCs/>
          <w:u w:val="single"/>
        </w:rPr>
        <w:lastRenderedPageBreak/>
        <w:t xml:space="preserve">Attachment A - </w:t>
      </w:r>
      <w:r w:rsidR="00AF3D26" w:rsidRPr="00960F10">
        <w:rPr>
          <w:rFonts w:cs="Calibri"/>
          <w:b/>
          <w:bCs/>
          <w:u w:val="single"/>
        </w:rPr>
        <w:t xml:space="preserve">Background for </w:t>
      </w:r>
      <w:r w:rsidR="00AF3D26">
        <w:rPr>
          <w:rFonts w:cs="Calibri"/>
          <w:b/>
          <w:bCs/>
          <w:u w:val="single"/>
        </w:rPr>
        <w:t xml:space="preserve">Residential </w:t>
      </w:r>
      <w:r w:rsidR="00AF3D26" w:rsidRPr="00960F10">
        <w:rPr>
          <w:rFonts w:cs="Calibri"/>
          <w:b/>
          <w:bCs/>
          <w:u w:val="single"/>
        </w:rPr>
        <w:t>RCA Related U</w:t>
      </w:r>
      <w:r w:rsidR="00DF4B30">
        <w:rPr>
          <w:rFonts w:cs="Calibri"/>
          <w:b/>
          <w:bCs/>
          <w:u w:val="single"/>
        </w:rPr>
        <w:t>E</w:t>
      </w:r>
      <w:r w:rsidR="00AF3D26" w:rsidRPr="00960F10">
        <w:rPr>
          <w:rFonts w:cs="Calibri"/>
          <w:b/>
          <w:bCs/>
          <w:u w:val="single"/>
        </w:rPr>
        <w:t>S Values:</w:t>
      </w:r>
    </w:p>
    <w:p w:rsidR="00AA04DA" w:rsidRDefault="00AA04DA" w:rsidP="007A6E17">
      <w:pPr>
        <w:spacing w:after="120"/>
      </w:pPr>
      <w:r>
        <w:t>Savings estimates for workpapers that include refrigerant charge and air-flow adjustment related claims differ significantly in their approaches to determining those claim values</w:t>
      </w:r>
      <w:r w:rsidRPr="00960F10">
        <w:t xml:space="preserve">. </w:t>
      </w:r>
      <w:r>
        <w:t xml:space="preserve"> Rather than examining each workpaper and approach separately, this disposition provides a single set of values based on those provided in the 2011 DEER database.  </w:t>
      </w:r>
    </w:p>
    <w:p w:rsidR="00AA04DA" w:rsidRDefault="00AA04DA" w:rsidP="007A6E17">
      <w:pPr>
        <w:spacing w:after="120"/>
      </w:pPr>
      <w:r>
        <w:t>It is important to note that current DEER U</w:t>
      </w:r>
      <w:r w:rsidR="00DF4B30">
        <w:t>E</w:t>
      </w:r>
      <w:r>
        <w:t>S values represent program end goals that could be obtained via a properly functioning maintenance program.  Cooling system efficiency improvements used to generate these savings were obtained by a cadre of skilled technicians focused on maximizing system efficiency improvements.  These same technicians currently serve as master technician</w:t>
      </w:r>
      <w:r w:rsidR="00DF4B30">
        <w:t>s</w:t>
      </w:r>
      <w:r>
        <w:t xml:space="preserve"> in the ongoing program EM&amp;V effort.  </w:t>
      </w:r>
      <w:r w:rsidR="0028074D">
        <w:t>Commission s</w:t>
      </w:r>
      <w:r w:rsidR="006A2E34">
        <w:t xml:space="preserve">taff </w:t>
      </w:r>
      <w:r>
        <w:t>believe</w:t>
      </w:r>
      <w:r w:rsidR="006A2E34">
        <w:t>s</w:t>
      </w:r>
      <w:r>
        <w:t xml:space="preserve"> that service technicians of this level of expertise operate in IOU-sponsored QM efforts, </w:t>
      </w:r>
      <w:r w:rsidR="0028074D">
        <w:t>however Commission s</w:t>
      </w:r>
      <w:r w:rsidR="006A2E34">
        <w:t>taff also believes a significant quantity of</w:t>
      </w:r>
      <w:r>
        <w:t xml:space="preserve"> service technicians do not</w:t>
      </w:r>
      <w:r w:rsidR="00DF4B30">
        <w:t xml:space="preserve"> possess a master’s level of expertise</w:t>
      </w:r>
      <w:r w:rsidR="0028074D">
        <w:t>, and</w:t>
      </w:r>
      <w:r>
        <w:t xml:space="preserve">  </w:t>
      </w:r>
      <w:r w:rsidR="0028074D">
        <w:t>p</w:t>
      </w:r>
      <w:r>
        <w:t>rogram benefits suffer as a result.</w:t>
      </w:r>
    </w:p>
    <w:p w:rsidR="00AA04DA" w:rsidRDefault="00AA04DA" w:rsidP="007A6E17">
      <w:pPr>
        <w:spacing w:after="120"/>
      </w:pPr>
      <w:r w:rsidRPr="00960F10">
        <w:t>The</w:t>
      </w:r>
      <w:r>
        <w:t xml:space="preserve"> general approach in establishing task-based U</w:t>
      </w:r>
      <w:r w:rsidR="00DF4B30">
        <w:t>E</w:t>
      </w:r>
      <w:r>
        <w:t>S values includes the following steps:</w:t>
      </w:r>
    </w:p>
    <w:p w:rsidR="00AA04DA" w:rsidRDefault="00AA04DA" w:rsidP="006A2E34">
      <w:pPr>
        <w:pStyle w:val="ListParagraph"/>
        <w:numPr>
          <w:ilvl w:val="0"/>
          <w:numId w:val="30"/>
        </w:numPr>
        <w:spacing w:after="120"/>
      </w:pPr>
      <w:r>
        <w:t>Start with U</w:t>
      </w:r>
      <w:r w:rsidR="00DF4B30">
        <w:t>E</w:t>
      </w:r>
      <w:r>
        <w:t>S values from the 2011 DEER database for commercial RCA efforts.  Again, these values are viewed as a realizable goal for all QM efforts.</w:t>
      </w:r>
    </w:p>
    <w:p w:rsidR="00AA04DA" w:rsidRDefault="00AA04DA" w:rsidP="006A2E34">
      <w:pPr>
        <w:pStyle w:val="ListParagraph"/>
        <w:numPr>
          <w:ilvl w:val="0"/>
          <w:numId w:val="30"/>
        </w:numPr>
        <w:spacing w:after="120"/>
      </w:pPr>
      <w:r>
        <w:t>Separate those values into task components of charge adjustment, condenser and evaporator coil cleaning and air flow adjustment.</w:t>
      </w:r>
    </w:p>
    <w:p w:rsidR="00AA04DA" w:rsidRDefault="00AA04DA" w:rsidP="006A2E34">
      <w:pPr>
        <w:pStyle w:val="ListParagraph"/>
        <w:numPr>
          <w:ilvl w:val="0"/>
          <w:numId w:val="30"/>
        </w:numPr>
        <w:spacing w:after="120"/>
      </w:pPr>
      <w:r>
        <w:t>Provide adjustments to the various components to account for proper application of DEER assumptions and installation rates that represent best estimates of the current state of programs in obtaining DEER values</w:t>
      </w:r>
      <w:r w:rsidRPr="00960F10">
        <w:t>.</w:t>
      </w:r>
    </w:p>
    <w:p w:rsidR="007A6E17" w:rsidRPr="00960F10" w:rsidRDefault="007A6E17" w:rsidP="007A6E17">
      <w:pPr>
        <w:pStyle w:val="ListParagraph"/>
        <w:spacing w:after="120"/>
      </w:pPr>
    </w:p>
    <w:p w:rsidR="00AA04DA" w:rsidRPr="00B42C35" w:rsidRDefault="00AA04DA" w:rsidP="00AA04DA">
      <w:pPr>
        <w:pStyle w:val="ListParagraph"/>
        <w:keepNext/>
        <w:numPr>
          <w:ilvl w:val="0"/>
          <w:numId w:val="11"/>
        </w:numPr>
        <w:rPr>
          <w:b/>
          <w:u w:val="single"/>
        </w:rPr>
      </w:pPr>
      <w:r w:rsidRPr="00B42C35">
        <w:rPr>
          <w:b/>
          <w:u w:val="single"/>
        </w:rPr>
        <w:t>DEER RCA Data</w:t>
      </w:r>
    </w:p>
    <w:p w:rsidR="00AA04DA" w:rsidRDefault="007A6E17" w:rsidP="00AA04DA">
      <w:pPr>
        <w:ind w:left="360"/>
      </w:pPr>
      <w:bookmarkStart w:id="3" w:name="OLE_LINK1"/>
      <w:r w:rsidRPr="00960F10">
        <w:t xml:space="preserve">DEER </w:t>
      </w:r>
      <w:r>
        <w:t xml:space="preserve">savings estimates used as a starting point in this portion of the disposition are based on 2011 DEER ID </w:t>
      </w:r>
      <w:r w:rsidRPr="00AA04DA">
        <w:rPr>
          <w:i/>
        </w:rPr>
        <w:t>Res-RefrigCharge-wtd</w:t>
      </w:r>
      <w:r>
        <w:rPr>
          <w:i/>
        </w:rPr>
        <w:t>.</w:t>
      </w:r>
      <w:r>
        <w:rPr>
          <w:rFonts w:cs="Calibri"/>
        </w:rPr>
        <w:t xml:space="preserve"> These values were developed by weighting the four individual refrigerant charge measures (high overcharge, typical overcharge, high undercharge, typical undercharge) for the “existing” building vintage. Where building weights did not include populations for a particular IOU and climate zone, statewide weightings for the climate zone were used.</w:t>
      </w:r>
      <w:r w:rsidR="00AA04DA">
        <w:t xml:space="preserve"> These provide savings estimates for all </w:t>
      </w:r>
      <w:r>
        <w:t xml:space="preserve">residential </w:t>
      </w:r>
      <w:r w:rsidR="00AA04DA">
        <w:t>building types across all IOUs and climate zones.</w:t>
      </w:r>
    </w:p>
    <w:p w:rsidR="007A6E17" w:rsidRDefault="00AA04DA" w:rsidP="00AA04DA">
      <w:pPr>
        <w:ind w:left="360"/>
      </w:pPr>
      <w:r>
        <w:t>The assumptions and data associated with the DEER values are well documented in the 2005 DEER Update Study.  The assumptions concerning efficiency improvements associated with an RCA effort are unchanged in DEER 2011; only prototype building models may have changed</w:t>
      </w:r>
      <w:r w:rsidR="007A6E17">
        <w:t xml:space="preserve">. </w:t>
      </w:r>
      <w:r w:rsidR="007A6E17">
        <w:rPr>
          <w:rFonts w:cs="Calibri"/>
        </w:rPr>
        <w:t xml:space="preserve">The data used in DEER to provide measure savings for refrigerant system repairs are the same as those used in the residential QM analyses for workpapers </w:t>
      </w:r>
      <w:r w:rsidR="007A6E17" w:rsidRPr="00AC0884">
        <w:rPr>
          <w:rFonts w:cs="Calibri"/>
        </w:rPr>
        <w:t>WPSDGEREHC1065</w:t>
      </w:r>
      <w:r w:rsidR="007A6E17">
        <w:rPr>
          <w:rFonts w:cs="Calibri"/>
        </w:rPr>
        <w:t xml:space="preserve">, </w:t>
      </w:r>
      <w:r w:rsidR="007A6E17" w:rsidRPr="003D44D6">
        <w:rPr>
          <w:rFonts w:cs="Calibri"/>
        </w:rPr>
        <w:t>SCE13HC0</w:t>
      </w:r>
      <w:r w:rsidR="007A6E17">
        <w:rPr>
          <w:rFonts w:cs="Calibri"/>
        </w:rPr>
        <w:t>29 and</w:t>
      </w:r>
      <w:r w:rsidR="007A6E17" w:rsidRPr="003D44D6">
        <w:t xml:space="preserve"> </w:t>
      </w:r>
      <w:r w:rsidR="007A6E17" w:rsidRPr="003D44D6">
        <w:rPr>
          <w:rFonts w:cs="Calibri"/>
        </w:rPr>
        <w:t>PGECOHVC13</w:t>
      </w:r>
      <w:r w:rsidR="007A6E17">
        <w:rPr>
          <w:rFonts w:cs="Calibri"/>
        </w:rPr>
        <w:t>9.</w:t>
      </w:r>
    </w:p>
    <w:bookmarkEnd w:id="3"/>
    <w:p w:rsidR="00AA04DA" w:rsidRDefault="007A6E17" w:rsidP="00AA04DA">
      <w:pPr>
        <w:pStyle w:val="ListParagraph"/>
        <w:keepNext/>
        <w:numPr>
          <w:ilvl w:val="0"/>
          <w:numId w:val="9"/>
        </w:numPr>
        <w:rPr>
          <w:b/>
          <w:u w:val="single"/>
        </w:rPr>
      </w:pPr>
      <w:r>
        <w:rPr>
          <w:rFonts w:cs="Calibri"/>
          <w:b/>
          <w:bCs/>
          <w:u w:val="single"/>
        </w:rPr>
        <w:t>Calculating Charge Versus Non-Charge Related Services</w:t>
      </w:r>
    </w:p>
    <w:p w:rsidR="007A6E17" w:rsidRDefault="007A6E17" w:rsidP="007A6E17">
      <w:pPr>
        <w:ind w:left="360"/>
        <w:rPr>
          <w:rFonts w:cs="Calibri"/>
        </w:rPr>
      </w:pPr>
      <w:r>
        <w:rPr>
          <w:rFonts w:cs="Calibri"/>
        </w:rPr>
        <w:t>The QM workpapers</w:t>
      </w:r>
      <w:r w:rsidRPr="0059654E">
        <w:rPr>
          <w:rFonts w:cs="Calibri"/>
        </w:rPr>
        <w:t xml:space="preserve"> recognize that </w:t>
      </w:r>
      <w:r>
        <w:rPr>
          <w:rFonts w:cs="Calibri"/>
        </w:rPr>
        <w:t xml:space="preserve">savings </w:t>
      </w:r>
      <w:r w:rsidRPr="0059654E">
        <w:rPr>
          <w:rFonts w:cs="Calibri"/>
        </w:rPr>
        <w:t xml:space="preserve">estimates </w:t>
      </w:r>
      <w:r>
        <w:rPr>
          <w:rFonts w:cs="Calibri"/>
        </w:rPr>
        <w:t>arise from a</w:t>
      </w:r>
      <w:r w:rsidRPr="0059654E">
        <w:rPr>
          <w:rFonts w:cs="Calibri"/>
        </w:rPr>
        <w:t xml:space="preserve"> mix of </w:t>
      </w:r>
      <w:r>
        <w:rPr>
          <w:rFonts w:cs="Calibri"/>
        </w:rPr>
        <w:t>treatments – not just a charge adjustment</w:t>
      </w:r>
      <w:r w:rsidRPr="00B42C35">
        <w:rPr>
          <w:rFonts w:cs="Calibri"/>
        </w:rPr>
        <w:t xml:space="preserve">.  </w:t>
      </w:r>
      <w:r w:rsidR="00DF4B30">
        <w:rPr>
          <w:rFonts w:cs="Calibri"/>
        </w:rPr>
        <w:t xml:space="preserve">Potential treatments </w:t>
      </w:r>
      <w:r>
        <w:rPr>
          <w:rFonts w:cs="Calibri"/>
        </w:rPr>
        <w:t xml:space="preserve">include refrigerant charge adjustment, condenser and </w:t>
      </w:r>
      <w:r>
        <w:rPr>
          <w:rFonts w:cs="Calibri"/>
        </w:rPr>
        <w:lastRenderedPageBreak/>
        <w:t xml:space="preserve">evaporator coil cleaning, air flow adjustments and other fault corrections like removal of non-condensables or line restrictions in the refrigerant system.  Unfortunately, the actual tasks performed that generated those savings were not published, nor </w:t>
      </w:r>
      <w:r w:rsidR="00DF4B30">
        <w:rPr>
          <w:rFonts w:cs="Calibri"/>
        </w:rPr>
        <w:t xml:space="preserve">were the </w:t>
      </w:r>
      <w:r>
        <w:rPr>
          <w:rFonts w:cs="Calibri"/>
        </w:rPr>
        <w:t>incremental benefit</w:t>
      </w:r>
      <w:r w:rsidR="00DF4B30">
        <w:rPr>
          <w:rFonts w:cs="Calibri"/>
        </w:rPr>
        <w:t>s</w:t>
      </w:r>
      <w:r>
        <w:rPr>
          <w:rFonts w:cs="Calibri"/>
        </w:rPr>
        <w:t xml:space="preserve"> of various treatments measured.  The approach taken in IOU workpaper development efforts was to assume that efficiency improvements associated with minimal charge adjustments (less than ±10% change in charge) were all a result of coil cleaning and air flow adjustments.  While this approach has merit, some efficiency benefits noted in the data set exceeded that which would normally accrue from these remedies and are likely a result of fault corrections that are not included in current QM programs.  Examples of faults not included in current QM programs are the elimination of non-condensables and/or liquid line restrictions in the refrigerant system.  </w:t>
      </w:r>
    </w:p>
    <w:p w:rsidR="007A6E17" w:rsidRDefault="007A6E17" w:rsidP="007A6E17">
      <w:pPr>
        <w:ind w:left="360"/>
        <w:rPr>
          <w:rFonts w:cs="Calibri"/>
        </w:rPr>
      </w:pPr>
      <w:r>
        <w:rPr>
          <w:rFonts w:cs="Calibri"/>
        </w:rPr>
        <w:t>Staff estimate that non-charge related services may account for an additi</w:t>
      </w:r>
      <w:r w:rsidR="00DE106F">
        <w:rPr>
          <w:rFonts w:cs="Calibri"/>
        </w:rPr>
        <w:t>onal 25% savings on top of RCA.</w:t>
      </w:r>
      <w:r>
        <w:rPr>
          <w:rFonts w:cs="Calibri"/>
        </w:rPr>
        <w:t xml:space="preserve">  Based on this assessment, published DEER benefits are segregated into charge adjustment and non-charge adjustment remedies as follows:</w:t>
      </w:r>
    </w:p>
    <w:p w:rsidR="007A6E17" w:rsidRPr="002E5B62" w:rsidRDefault="007A6E17" w:rsidP="007A6E17">
      <w:pPr>
        <w:keepNext/>
        <w:ind w:left="360"/>
        <w:jc w:val="right"/>
        <w:rPr>
          <w:rFonts w:cs="Calibri"/>
        </w:rPr>
      </w:pPr>
      <w:bookmarkStart w:id="4" w:name="_Ref348963438"/>
      <w:r w:rsidRPr="00B32752">
        <w:rPr>
          <w:rFonts w:cs="Calibri"/>
        </w:rPr>
        <w:t>Gross Charge Adjustm</w:t>
      </w:r>
      <w:r>
        <w:rPr>
          <w:rFonts w:cs="Calibri"/>
        </w:rPr>
        <w:t>ent Savings = DEER values</w:t>
      </w:r>
      <w:r>
        <w:t xml:space="preserve"> </w:t>
      </w:r>
      <w:r>
        <w:tab/>
        <w:t xml:space="preserve"> </w:t>
      </w:r>
      <w:r>
        <w:tab/>
      </w:r>
      <w:r w:rsidRPr="002E5B62">
        <w:rPr>
          <w:rFonts w:cs="Calibri"/>
        </w:rPr>
        <w:t xml:space="preserve"> </w:t>
      </w:r>
      <w:r>
        <w:rPr>
          <w:rFonts w:cs="Calibri"/>
        </w:rPr>
        <w:t xml:space="preserve"> </w:t>
      </w:r>
      <w:r w:rsidRPr="002E5B62">
        <w:rPr>
          <w:rFonts w:cs="Calibri"/>
        </w:rPr>
        <w:t xml:space="preserve">         (</w:t>
      </w:r>
      <w:r w:rsidRPr="002E5B62">
        <w:rPr>
          <w:rFonts w:cs="Calibri"/>
        </w:rPr>
        <w:fldChar w:fldCharType="begin"/>
      </w:r>
      <w:r w:rsidRPr="002E5B62">
        <w:rPr>
          <w:rFonts w:cs="Calibri"/>
        </w:rPr>
        <w:instrText xml:space="preserve"> SEQ Equation \* ARABIC </w:instrText>
      </w:r>
      <w:r w:rsidRPr="002E5B62">
        <w:rPr>
          <w:rFonts w:cs="Calibri"/>
        </w:rPr>
        <w:fldChar w:fldCharType="separate"/>
      </w:r>
      <w:r w:rsidRPr="002E5B62">
        <w:rPr>
          <w:rFonts w:cs="Calibri"/>
          <w:noProof/>
        </w:rPr>
        <w:t>1</w:t>
      </w:r>
      <w:r w:rsidRPr="002E5B62">
        <w:rPr>
          <w:rFonts w:cs="Calibri"/>
        </w:rPr>
        <w:fldChar w:fldCharType="end"/>
      </w:r>
      <w:bookmarkEnd w:id="4"/>
      <w:r w:rsidRPr="002E5B62">
        <w:rPr>
          <w:rFonts w:cs="Calibri"/>
        </w:rPr>
        <w:t>)</w:t>
      </w:r>
    </w:p>
    <w:p w:rsidR="007A6E17" w:rsidRDefault="007A6E17" w:rsidP="007A6E17">
      <w:pPr>
        <w:ind w:left="360"/>
        <w:jc w:val="right"/>
        <w:rPr>
          <w:rFonts w:cs="Calibri"/>
        </w:rPr>
      </w:pPr>
      <w:r>
        <w:rPr>
          <w:rFonts w:cs="Calibri"/>
        </w:rPr>
        <w:t xml:space="preserve">Gross Non-Charge Adjustment Savings = DEER values * 0.25  </w:t>
      </w:r>
      <w:r>
        <w:rPr>
          <w:rFonts w:cs="Calibri"/>
        </w:rPr>
        <w:tab/>
      </w:r>
      <w:r>
        <w:rPr>
          <w:rFonts w:cs="Calibri"/>
        </w:rPr>
        <w:tab/>
      </w:r>
      <w:r w:rsidRPr="002E5B62">
        <w:rPr>
          <w:rFonts w:cs="Calibri"/>
        </w:rPr>
        <w:t>(</w:t>
      </w:r>
      <w:r w:rsidRPr="002E5B62">
        <w:rPr>
          <w:rFonts w:cs="Calibri"/>
        </w:rPr>
        <w:fldChar w:fldCharType="begin"/>
      </w:r>
      <w:r w:rsidRPr="002E5B62">
        <w:rPr>
          <w:rFonts w:cs="Calibri"/>
        </w:rPr>
        <w:instrText xml:space="preserve"> SEQ Equation \* ARABIC </w:instrText>
      </w:r>
      <w:r w:rsidRPr="002E5B62">
        <w:rPr>
          <w:rFonts w:cs="Calibri"/>
        </w:rPr>
        <w:fldChar w:fldCharType="separate"/>
      </w:r>
      <w:r>
        <w:rPr>
          <w:rFonts w:cs="Calibri"/>
          <w:noProof/>
        </w:rPr>
        <w:t>2</w:t>
      </w:r>
      <w:r w:rsidRPr="002E5B62">
        <w:rPr>
          <w:rFonts w:cs="Calibri"/>
        </w:rPr>
        <w:fldChar w:fldCharType="end"/>
      </w:r>
      <w:r w:rsidRPr="002E5B62">
        <w:rPr>
          <w:rFonts w:cs="Calibri"/>
        </w:rPr>
        <w:t>)</w:t>
      </w:r>
    </w:p>
    <w:p w:rsidR="007A6E17" w:rsidRDefault="007A6E17" w:rsidP="007A6E17">
      <w:pPr>
        <w:pStyle w:val="ListParagraph"/>
        <w:keepNext/>
        <w:numPr>
          <w:ilvl w:val="0"/>
          <w:numId w:val="9"/>
        </w:numPr>
        <w:contextualSpacing w:val="0"/>
        <w:rPr>
          <w:rFonts w:cs="Calibri"/>
          <w:b/>
          <w:bCs/>
          <w:u w:val="single"/>
        </w:rPr>
      </w:pPr>
      <w:r>
        <w:rPr>
          <w:rFonts w:cs="Calibri"/>
          <w:b/>
          <w:bCs/>
          <w:u w:val="single"/>
        </w:rPr>
        <w:t>Charge Adjustment Savings Modifier – Baseline Adjustment</w:t>
      </w:r>
    </w:p>
    <w:p w:rsidR="007A6E17" w:rsidRDefault="007A6E17" w:rsidP="007A6E17">
      <w:pPr>
        <w:ind w:left="360"/>
        <w:rPr>
          <w:rFonts w:cs="Calibri"/>
        </w:rPr>
      </w:pPr>
      <w:r>
        <w:rPr>
          <w:rFonts w:cs="Calibri"/>
        </w:rPr>
        <w:t>The DEER values used in Equation 1 are weighted values that accrue only for charge adjustments greater that 10% of unit nominal charge.  The DEER U</w:t>
      </w:r>
      <w:r w:rsidR="00DF4B30">
        <w:rPr>
          <w:rFonts w:cs="Calibri"/>
        </w:rPr>
        <w:t>E</w:t>
      </w:r>
      <w:r>
        <w:rPr>
          <w:rFonts w:cs="Calibri"/>
        </w:rPr>
        <w:t xml:space="preserve">S values are a simple weighting of original savings estimates based on low and high charge adjustments whose minimum charge adjustment threshold is ±10%.  Current programs do not include charge level as a savings accrual requirement.   This disposition addresses this by applying a multiplier to charge-related DEER values from Equation 1 to account for the number of systems that will receive a charge adjustment in the program, but are below the threshold needed to generate significant energy savings.  </w:t>
      </w:r>
    </w:p>
    <w:p w:rsidR="007A6E17" w:rsidRDefault="007A6E17" w:rsidP="007A6E17">
      <w:pPr>
        <w:ind w:left="360"/>
        <w:rPr>
          <w:rFonts w:cs="Calibri"/>
        </w:rPr>
      </w:pPr>
      <w:bookmarkStart w:id="5" w:name="OLE_LINK2"/>
      <w:bookmarkStart w:id="6" w:name="OLE_LINK3"/>
      <w:r>
        <w:rPr>
          <w:rFonts w:cs="Calibri"/>
        </w:rPr>
        <w:t>Figure 1 provides the distribution of units from which DEER impacts are evaluated based on the charge adjustment for each unit</w:t>
      </w:r>
      <w:r w:rsidR="00DF4B30">
        <w:rPr>
          <w:rFonts w:cs="Calibri"/>
        </w:rPr>
        <w:t>.</w:t>
      </w:r>
      <w:r>
        <w:rPr>
          <w:rStyle w:val="FootnoteReference"/>
          <w:rFonts w:cs="Calibri"/>
        </w:rPr>
        <w:footnoteReference w:id="1"/>
      </w:r>
      <w:r>
        <w:rPr>
          <w:rFonts w:cs="Calibri"/>
        </w:rPr>
        <w:t xml:space="preserve">  Based on the data collected, 45% of all serviced units had charge adjustments less than 10%.  No significant energy savings related to charge adjustment occurs for those units.  From this, when the level of charge adjustment is ignored, the charge adjustment savings </w:t>
      </w:r>
      <w:r w:rsidR="00DF4B30">
        <w:rPr>
          <w:rFonts w:cs="Calibri"/>
        </w:rPr>
        <w:t>(</w:t>
      </w:r>
      <w:r>
        <w:rPr>
          <w:rFonts w:cs="Calibri"/>
        </w:rPr>
        <w:t>based on values in the 2011 DEER</w:t>
      </w:r>
      <w:r w:rsidR="00DF4B30">
        <w:rPr>
          <w:rFonts w:cs="Calibri"/>
        </w:rPr>
        <w:t>)</w:t>
      </w:r>
      <w:r>
        <w:rPr>
          <w:rFonts w:cs="Calibri"/>
        </w:rPr>
        <w:t xml:space="preserve"> must be reduced by the number of units for which no significant savings </w:t>
      </w:r>
      <w:r w:rsidR="00DF4B30">
        <w:rPr>
          <w:rFonts w:cs="Calibri"/>
        </w:rPr>
        <w:t xml:space="preserve">are </w:t>
      </w:r>
      <w:r>
        <w:rPr>
          <w:rFonts w:cs="Calibri"/>
        </w:rPr>
        <w:t>expected</w:t>
      </w:r>
      <w:bookmarkEnd w:id="5"/>
      <w:bookmarkEnd w:id="6"/>
      <w:r>
        <w:rPr>
          <w:rFonts w:cs="Calibri"/>
        </w:rPr>
        <w:t xml:space="preserve">. In consideration of values from </w:t>
      </w:r>
      <w:r>
        <w:rPr>
          <w:rFonts w:cs="Calibri"/>
        </w:rPr>
        <w:fldChar w:fldCharType="begin"/>
      </w:r>
      <w:r>
        <w:rPr>
          <w:rFonts w:cs="Calibri"/>
        </w:rPr>
        <w:instrText xml:space="preserve"> REF _Ref352576373 </w:instrText>
      </w:r>
      <w:r>
        <w:rPr>
          <w:rFonts w:cs="Calibri"/>
        </w:rPr>
        <w:fldChar w:fldCharType="separate"/>
      </w:r>
      <w:r>
        <w:t xml:space="preserve">Figure </w:t>
      </w:r>
      <w:r>
        <w:rPr>
          <w:noProof/>
        </w:rPr>
        <w:t>1</w:t>
      </w:r>
      <w:r>
        <w:rPr>
          <w:rFonts w:cs="Calibri"/>
        </w:rPr>
        <w:fldChar w:fldCharType="end"/>
      </w:r>
      <w:r>
        <w:rPr>
          <w:rFonts w:cs="Calibri"/>
        </w:rPr>
        <w:t xml:space="preserve"> as well as the possibility that some refrigerant charge adjustments may result in increased energy use, staff has assigned an incidence fraction of 0.40 to savings values for </w:t>
      </w:r>
      <w:r w:rsidR="00DF4B30">
        <w:rPr>
          <w:rFonts w:cs="Calibri"/>
        </w:rPr>
        <w:t>RCA</w:t>
      </w:r>
      <w:r>
        <w:rPr>
          <w:rFonts w:cs="Calibri"/>
        </w:rPr>
        <w:t>.</w:t>
      </w:r>
    </w:p>
    <w:p w:rsidR="007A6E17" w:rsidRDefault="007A6E17" w:rsidP="007A6E17">
      <w:pPr>
        <w:pStyle w:val="Caption"/>
        <w:keepNext/>
      </w:pPr>
      <w:bookmarkStart w:id="7" w:name="_Ref352576373"/>
      <w:r>
        <w:lastRenderedPageBreak/>
        <w:t xml:space="preserve">Figure </w:t>
      </w:r>
      <w:fldSimple w:instr=" SEQ Figure \* ARABIC ">
        <w:r w:rsidR="00F321EF">
          <w:rPr>
            <w:noProof/>
          </w:rPr>
          <w:t>1</w:t>
        </w:r>
      </w:fldSimple>
      <w:bookmarkEnd w:id="7"/>
      <w:r>
        <w:t xml:space="preserve"> - </w:t>
      </w:r>
      <w:r w:rsidRPr="00542EDD">
        <w:t>Unit Distribution by Charge Adjustment Level</w:t>
      </w:r>
    </w:p>
    <w:p w:rsidR="007A6E17" w:rsidRDefault="00886B33" w:rsidP="007A6E17">
      <w:pPr>
        <w:ind w:left="360"/>
        <w:rPr>
          <w:rFonts w:cs="Calibri"/>
        </w:rPr>
      </w:pPr>
      <w:r>
        <w:rPr>
          <w:noProof/>
        </w:rPr>
        <w:drawing>
          <wp:inline distT="0" distB="0" distL="0" distR="0">
            <wp:extent cx="5478780" cy="25984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78780" cy="2598420"/>
                    </a:xfrm>
                    <a:prstGeom prst="rect">
                      <a:avLst/>
                    </a:prstGeom>
                    <a:noFill/>
                    <a:ln>
                      <a:noFill/>
                    </a:ln>
                  </pic:spPr>
                </pic:pic>
              </a:graphicData>
            </a:graphic>
          </wp:inline>
        </w:drawing>
      </w:r>
    </w:p>
    <w:p w:rsidR="007A6E17" w:rsidRDefault="00DE106F" w:rsidP="007A6E17">
      <w:pPr>
        <w:ind w:left="360"/>
        <w:rPr>
          <w:rFonts w:cs="Calibri"/>
        </w:rPr>
      </w:pPr>
      <w:r>
        <w:rPr>
          <w:rFonts w:cs="Calibri"/>
        </w:rPr>
        <w:t xml:space="preserve">In addition to the expected incidence occurrence for refrigerant charge adjustments, a standard installation rate of 0.568 shall be applied to all refrigerant charge measures. This is the statewide value included in READI for residential refrigerant charge measures. For third party and local RCA programs, the </w:t>
      </w:r>
      <w:r w:rsidR="007D4E1D">
        <w:rPr>
          <w:rFonts w:cs="Calibri"/>
        </w:rPr>
        <w:t xml:space="preserve">installation rate </w:t>
      </w:r>
      <w:r>
        <w:rPr>
          <w:rFonts w:cs="Calibri"/>
        </w:rPr>
        <w:t xml:space="preserve">is a separate entry for each claim. For statewide QM programs, the </w:t>
      </w:r>
      <w:r w:rsidR="007D4E1D">
        <w:rPr>
          <w:rFonts w:cs="Calibri"/>
        </w:rPr>
        <w:t xml:space="preserve">installation rate </w:t>
      </w:r>
      <w:r>
        <w:rPr>
          <w:rFonts w:cs="Calibri"/>
        </w:rPr>
        <w:t xml:space="preserve">is included in the calculation of the overall savings for each QM claim. This is necessary since </w:t>
      </w:r>
      <w:r w:rsidR="007D4E1D">
        <w:rPr>
          <w:rFonts w:cs="Calibri"/>
        </w:rPr>
        <w:t xml:space="preserve">installation rate </w:t>
      </w:r>
      <w:r>
        <w:rPr>
          <w:rFonts w:cs="Calibri"/>
        </w:rPr>
        <w:t xml:space="preserve">values for each treatment within the QM program vary and must be included in the </w:t>
      </w:r>
      <w:r w:rsidR="007D4E1D">
        <w:rPr>
          <w:rFonts w:cs="Calibri"/>
        </w:rPr>
        <w:t xml:space="preserve">savings </w:t>
      </w:r>
      <w:r>
        <w:rPr>
          <w:rFonts w:cs="Calibri"/>
        </w:rPr>
        <w:t>calculation. Then, since the claimed savings for the QM program will include installation rate adjustments for each of the contributing measures, the claimed installation rate for QM claims shall be 1.</w:t>
      </w:r>
    </w:p>
    <w:p w:rsidR="007A6E17" w:rsidRDefault="007A6E17" w:rsidP="007A6E17">
      <w:pPr>
        <w:pStyle w:val="ListParagraph"/>
        <w:keepNext/>
        <w:numPr>
          <w:ilvl w:val="0"/>
          <w:numId w:val="9"/>
        </w:numPr>
        <w:contextualSpacing w:val="0"/>
        <w:rPr>
          <w:rFonts w:cs="Calibri"/>
          <w:b/>
          <w:bCs/>
          <w:u w:val="single"/>
        </w:rPr>
      </w:pPr>
      <w:r>
        <w:rPr>
          <w:rFonts w:cs="Calibri"/>
          <w:b/>
          <w:bCs/>
          <w:u w:val="single"/>
        </w:rPr>
        <w:t>Non-</w:t>
      </w:r>
      <w:r w:rsidRPr="00801DCD">
        <w:rPr>
          <w:rFonts w:cs="Calibri"/>
          <w:b/>
          <w:bCs/>
          <w:u w:val="single"/>
        </w:rPr>
        <w:t>Charge Adjustment Savings Modifiers</w:t>
      </w:r>
      <w:r>
        <w:rPr>
          <w:rFonts w:cs="Calibri"/>
          <w:b/>
          <w:bCs/>
          <w:u w:val="single"/>
        </w:rPr>
        <w:t>:</w:t>
      </w:r>
    </w:p>
    <w:p w:rsidR="007A6E17" w:rsidRDefault="007A6E17" w:rsidP="007A6E17">
      <w:pPr>
        <w:ind w:left="360"/>
        <w:rPr>
          <w:rFonts w:cs="Calibri"/>
        </w:rPr>
      </w:pPr>
      <w:r>
        <w:rPr>
          <w:rFonts w:cs="Calibri"/>
        </w:rPr>
        <w:t xml:space="preserve">There is no known evidence as to the relative impact from the three measures – condenser coil cleaning, evaporator coil cleaning and air flow adjustment - that generate </w:t>
      </w:r>
      <w:r w:rsidR="007D4E1D">
        <w:rPr>
          <w:rFonts w:cs="Calibri"/>
        </w:rPr>
        <w:t xml:space="preserve">non-charge adjustment </w:t>
      </w:r>
      <w:r>
        <w:rPr>
          <w:rFonts w:cs="Calibri"/>
        </w:rPr>
        <w:t xml:space="preserve">savings.  It is generally recognized that typical efficiency improvements associated with condenser coil cleaning is much larger than the other two.  Given a paucity of direct measurements of field conditions, </w:t>
      </w:r>
      <w:r w:rsidR="007D4E1D">
        <w:rPr>
          <w:rFonts w:cs="Calibri"/>
        </w:rPr>
        <w:t>Commission s</w:t>
      </w:r>
      <w:r>
        <w:rPr>
          <w:rFonts w:cs="Calibri"/>
        </w:rPr>
        <w:t>taff recommends the following apportioning of non-charge adjustment savings among the three possible measures:</w:t>
      </w:r>
    </w:p>
    <w:p w:rsidR="00EE566A" w:rsidRDefault="00EE566A" w:rsidP="00EE566A">
      <w:pPr>
        <w:keepNext/>
        <w:tabs>
          <w:tab w:val="right" w:pos="3600"/>
          <w:tab w:val="left" w:pos="3690"/>
        </w:tabs>
        <w:spacing w:after="0"/>
        <w:rPr>
          <w:rFonts w:cs="Calibri"/>
        </w:rPr>
      </w:pPr>
      <w:r>
        <w:rPr>
          <w:rFonts w:cs="Calibri"/>
        </w:rPr>
        <w:tab/>
      </w:r>
      <w:r w:rsidR="007A6E17" w:rsidRPr="00EE566A">
        <w:rPr>
          <w:rFonts w:cs="Calibri"/>
        </w:rPr>
        <w:t>Condenser Coil Cleaning</w:t>
      </w:r>
      <w:r>
        <w:rPr>
          <w:rFonts w:cs="Calibri"/>
        </w:rPr>
        <w:t>:</w:t>
      </w:r>
      <w:r>
        <w:rPr>
          <w:rFonts w:cs="Calibri"/>
        </w:rPr>
        <w:tab/>
      </w:r>
      <w:r w:rsidR="007A6E17" w:rsidRPr="00EE566A">
        <w:rPr>
          <w:rFonts w:cs="Calibri"/>
        </w:rPr>
        <w:t>50% of the total</w:t>
      </w:r>
    </w:p>
    <w:p w:rsidR="00EE566A" w:rsidRDefault="00EE566A" w:rsidP="00EE566A">
      <w:pPr>
        <w:keepNext/>
        <w:tabs>
          <w:tab w:val="right" w:pos="3600"/>
          <w:tab w:val="left" w:pos="3690"/>
        </w:tabs>
        <w:spacing w:after="0"/>
        <w:rPr>
          <w:rFonts w:cs="Calibri"/>
        </w:rPr>
      </w:pPr>
      <w:r>
        <w:rPr>
          <w:rFonts w:cs="Calibri"/>
        </w:rPr>
        <w:tab/>
        <w:t>Evaporator Coil Cleaning:</w:t>
      </w:r>
      <w:r>
        <w:rPr>
          <w:rFonts w:cs="Calibri"/>
        </w:rPr>
        <w:tab/>
      </w:r>
      <w:r w:rsidR="007A6E17" w:rsidRPr="00EE566A">
        <w:rPr>
          <w:rFonts w:cs="Calibri"/>
        </w:rPr>
        <w:t>25% of the total</w:t>
      </w:r>
    </w:p>
    <w:p w:rsidR="007A6E17" w:rsidRPr="00EE566A" w:rsidRDefault="00EE566A" w:rsidP="00EE566A">
      <w:pPr>
        <w:keepNext/>
        <w:tabs>
          <w:tab w:val="right" w:pos="3600"/>
          <w:tab w:val="left" w:pos="3690"/>
        </w:tabs>
        <w:spacing w:after="0"/>
        <w:rPr>
          <w:rFonts w:cs="Calibri"/>
        </w:rPr>
      </w:pPr>
      <w:r>
        <w:rPr>
          <w:rFonts w:cs="Calibri"/>
        </w:rPr>
        <w:tab/>
      </w:r>
      <w:r w:rsidR="007A6E17" w:rsidRPr="00EE566A">
        <w:rPr>
          <w:rFonts w:cs="Calibri"/>
        </w:rPr>
        <w:t>Air Flow Adjustment</w:t>
      </w:r>
      <w:r>
        <w:rPr>
          <w:rFonts w:cs="Calibri"/>
        </w:rPr>
        <w:t>:</w:t>
      </w:r>
      <w:r>
        <w:rPr>
          <w:rFonts w:cs="Calibri"/>
        </w:rPr>
        <w:tab/>
      </w:r>
      <w:r w:rsidR="007A6E17" w:rsidRPr="00EE566A">
        <w:rPr>
          <w:rFonts w:cs="Calibri"/>
        </w:rPr>
        <w:t>25% of the total.</w:t>
      </w:r>
    </w:p>
    <w:p w:rsidR="00EE566A" w:rsidRDefault="00EE566A" w:rsidP="007A6E17">
      <w:pPr>
        <w:spacing w:after="120"/>
        <w:ind w:left="360"/>
        <w:rPr>
          <w:rFonts w:cs="Calibri"/>
        </w:rPr>
      </w:pPr>
    </w:p>
    <w:p w:rsidR="007A6E17" w:rsidRPr="00346F22" w:rsidRDefault="007A6E17" w:rsidP="00441E22">
      <w:pPr>
        <w:keepNext/>
        <w:spacing w:after="120"/>
        <w:ind w:left="360"/>
        <w:rPr>
          <w:rFonts w:cs="Calibri"/>
        </w:rPr>
      </w:pPr>
      <w:r>
        <w:rPr>
          <w:rFonts w:cs="Calibri"/>
        </w:rPr>
        <w:lastRenderedPageBreak/>
        <w:t>In addition to the fractions described above, staff also assigns the following incidence fractions to the gross savings results:</w:t>
      </w:r>
    </w:p>
    <w:p w:rsidR="007A6E17" w:rsidRPr="00EE566A" w:rsidRDefault="00EE566A" w:rsidP="00EE566A">
      <w:pPr>
        <w:keepNext/>
        <w:tabs>
          <w:tab w:val="right" w:pos="3600"/>
          <w:tab w:val="left" w:pos="3690"/>
        </w:tabs>
        <w:spacing w:after="0"/>
        <w:rPr>
          <w:rFonts w:cs="Calibri"/>
        </w:rPr>
      </w:pPr>
      <w:r>
        <w:rPr>
          <w:rFonts w:cs="Calibri"/>
        </w:rPr>
        <w:tab/>
        <w:t>Condenser Coil Cleaning:</w:t>
      </w:r>
      <w:r>
        <w:rPr>
          <w:rFonts w:cs="Calibri"/>
        </w:rPr>
        <w:tab/>
      </w:r>
      <w:r w:rsidR="007A6E17" w:rsidRPr="00EE566A">
        <w:rPr>
          <w:rFonts w:cs="Calibri"/>
        </w:rPr>
        <w:t>0.80</w:t>
      </w:r>
    </w:p>
    <w:p w:rsidR="007A6E17" w:rsidRPr="00EE566A" w:rsidRDefault="00EE566A" w:rsidP="00EE566A">
      <w:pPr>
        <w:keepNext/>
        <w:tabs>
          <w:tab w:val="right" w:pos="3600"/>
          <w:tab w:val="left" w:pos="3690"/>
        </w:tabs>
        <w:spacing w:after="0"/>
        <w:rPr>
          <w:rFonts w:cs="Calibri"/>
        </w:rPr>
      </w:pPr>
      <w:r>
        <w:rPr>
          <w:rFonts w:cs="Calibri"/>
        </w:rPr>
        <w:tab/>
      </w:r>
      <w:r w:rsidRPr="00EE566A">
        <w:rPr>
          <w:rFonts w:cs="Calibri"/>
        </w:rPr>
        <w:t>E</w:t>
      </w:r>
      <w:r>
        <w:rPr>
          <w:rFonts w:cs="Calibri"/>
        </w:rPr>
        <w:t>vaporator Coil Cleaning:</w:t>
      </w:r>
      <w:r>
        <w:rPr>
          <w:rFonts w:cs="Calibri"/>
        </w:rPr>
        <w:tab/>
      </w:r>
      <w:r w:rsidR="007A6E17" w:rsidRPr="00EE566A">
        <w:rPr>
          <w:rFonts w:cs="Calibri"/>
        </w:rPr>
        <w:t>0.60</w:t>
      </w:r>
    </w:p>
    <w:p w:rsidR="007A6E17" w:rsidRDefault="00EE566A" w:rsidP="00EE566A">
      <w:pPr>
        <w:tabs>
          <w:tab w:val="right" w:pos="3600"/>
          <w:tab w:val="left" w:pos="3690"/>
        </w:tabs>
        <w:spacing w:after="120"/>
        <w:rPr>
          <w:rFonts w:cs="Calibri"/>
        </w:rPr>
      </w:pPr>
      <w:r>
        <w:rPr>
          <w:rFonts w:cs="Calibri"/>
        </w:rPr>
        <w:tab/>
        <w:t>Air Flow Adjustment:</w:t>
      </w:r>
      <w:r>
        <w:rPr>
          <w:rFonts w:cs="Calibri"/>
        </w:rPr>
        <w:tab/>
      </w:r>
      <w:r w:rsidR="007A6E17" w:rsidRPr="00EE566A">
        <w:rPr>
          <w:rFonts w:cs="Calibri"/>
        </w:rPr>
        <w:t>0.60</w:t>
      </w:r>
    </w:p>
    <w:p w:rsidR="00EE566A" w:rsidRDefault="00EE566A" w:rsidP="00EE566A">
      <w:pPr>
        <w:tabs>
          <w:tab w:val="right" w:pos="3600"/>
          <w:tab w:val="left" w:pos="3690"/>
        </w:tabs>
        <w:spacing w:after="120"/>
        <w:rPr>
          <w:rFonts w:cs="Calibri"/>
        </w:rPr>
      </w:pPr>
    </w:p>
    <w:p w:rsidR="00EE566A" w:rsidRDefault="00DE106F" w:rsidP="00EE566A">
      <w:pPr>
        <w:pStyle w:val="ListParagraph"/>
        <w:keepNext/>
        <w:numPr>
          <w:ilvl w:val="0"/>
          <w:numId w:val="9"/>
        </w:numPr>
        <w:contextualSpacing w:val="0"/>
        <w:rPr>
          <w:rFonts w:cs="Calibri"/>
          <w:b/>
          <w:bCs/>
          <w:u w:val="single"/>
        </w:rPr>
      </w:pPr>
      <w:r>
        <w:rPr>
          <w:rFonts w:cs="Calibri"/>
          <w:b/>
          <w:bCs/>
          <w:u w:val="single"/>
        </w:rPr>
        <w:t>Final Savings Values for Individual Measures</w:t>
      </w:r>
      <w:r w:rsidR="00EE566A">
        <w:rPr>
          <w:rFonts w:cs="Calibri"/>
          <w:b/>
          <w:bCs/>
          <w:u w:val="single"/>
        </w:rPr>
        <w:t>:</w:t>
      </w:r>
    </w:p>
    <w:p w:rsidR="007A6E17" w:rsidRDefault="00DE106F" w:rsidP="00DE106F">
      <w:pPr>
        <w:ind w:left="360"/>
      </w:pPr>
      <w:r>
        <w:rPr>
          <w:rFonts w:cs="Calibri"/>
        </w:rPr>
        <w:t xml:space="preserve">The approved UES values for RCA and related measures are included in the embedded </w:t>
      </w:r>
      <w:r>
        <w:t>workbook “</w:t>
      </w:r>
      <w:r w:rsidRPr="003105D9">
        <w:rPr>
          <w:i/>
        </w:rPr>
        <w:t>20132014-ResidentialHVACMaintenance-SavingsValues-April2013-v1-2.xlsx</w:t>
      </w:r>
      <w:r>
        <w:rPr>
          <w:i/>
        </w:rPr>
        <w:t>”</w:t>
      </w:r>
      <w:r>
        <w:t xml:space="preserve"> in the following tabs:</w:t>
      </w:r>
    </w:p>
    <w:p w:rsidR="00DE106F" w:rsidRDefault="00DE106F" w:rsidP="00DE106F">
      <w:pPr>
        <w:tabs>
          <w:tab w:val="right" w:pos="3600"/>
          <w:tab w:val="left" w:pos="3690"/>
        </w:tabs>
        <w:spacing w:after="0"/>
        <w:ind w:left="360"/>
        <w:rPr>
          <w:i/>
        </w:rPr>
      </w:pPr>
      <w:r>
        <w:tab/>
        <w:t>Refrigerant Charge Adjustment:</w:t>
      </w:r>
      <w:r>
        <w:tab/>
      </w:r>
      <w:r w:rsidRPr="00DE106F">
        <w:rPr>
          <w:i/>
        </w:rPr>
        <w:t>DEER2011-RefrigCharge-Wtd</w:t>
      </w:r>
    </w:p>
    <w:p w:rsidR="00DE106F" w:rsidRDefault="00DE106F" w:rsidP="00DE106F">
      <w:pPr>
        <w:tabs>
          <w:tab w:val="right" w:pos="3600"/>
          <w:tab w:val="left" w:pos="3690"/>
        </w:tabs>
        <w:spacing w:after="0"/>
        <w:ind w:left="360"/>
      </w:pPr>
      <w:r>
        <w:tab/>
        <w:t>Condenser Coil Cleaning:</w:t>
      </w:r>
      <w:r>
        <w:tab/>
      </w:r>
      <w:r w:rsidRPr="00DE106F">
        <w:rPr>
          <w:i/>
        </w:rPr>
        <w:t>ResCondCoilCleaning</w:t>
      </w:r>
    </w:p>
    <w:p w:rsidR="00DE106F" w:rsidRDefault="00DE106F" w:rsidP="00DE106F">
      <w:pPr>
        <w:tabs>
          <w:tab w:val="right" w:pos="3600"/>
          <w:tab w:val="left" w:pos="3690"/>
        </w:tabs>
        <w:spacing w:after="0"/>
        <w:ind w:left="360"/>
      </w:pPr>
      <w:r>
        <w:tab/>
        <w:t>Evaporator Coil Cleaning:</w:t>
      </w:r>
      <w:r>
        <w:tab/>
      </w:r>
      <w:r w:rsidRPr="00DE106F">
        <w:rPr>
          <w:i/>
        </w:rPr>
        <w:t>ResEvapCoilCleaning</w:t>
      </w:r>
    </w:p>
    <w:p w:rsidR="00DE106F" w:rsidRDefault="00DE106F" w:rsidP="00DE106F">
      <w:pPr>
        <w:tabs>
          <w:tab w:val="right" w:pos="3600"/>
          <w:tab w:val="left" w:pos="3690"/>
        </w:tabs>
        <w:spacing w:after="0"/>
        <w:ind w:left="360"/>
        <w:rPr>
          <w:i/>
        </w:rPr>
      </w:pPr>
      <w:r>
        <w:tab/>
        <w:t>Air Flow Adjustment:</w:t>
      </w:r>
      <w:r>
        <w:tab/>
      </w:r>
      <w:r w:rsidRPr="00DE106F">
        <w:rPr>
          <w:i/>
        </w:rPr>
        <w:t>ResAirFlowAdjust</w:t>
      </w:r>
    </w:p>
    <w:p w:rsidR="008E7062" w:rsidRPr="008E7062" w:rsidRDefault="008E7062" w:rsidP="00DE106F">
      <w:pPr>
        <w:tabs>
          <w:tab w:val="right" w:pos="3600"/>
          <w:tab w:val="left" w:pos="3690"/>
        </w:tabs>
        <w:spacing w:after="0"/>
        <w:ind w:left="360"/>
      </w:pPr>
    </w:p>
    <w:p w:rsidR="00AF3D26" w:rsidRPr="007A661A" w:rsidRDefault="00AF3D26" w:rsidP="00AF3D26">
      <w:pPr>
        <w:ind w:left="360"/>
        <w:rPr>
          <w:rFonts w:cs="Calibri"/>
        </w:rPr>
      </w:pPr>
    </w:p>
    <w:p w:rsidR="004A4FCD" w:rsidRDefault="004A4FCD">
      <w:pPr>
        <w:spacing w:after="0" w:line="240" w:lineRule="auto"/>
      </w:pPr>
      <w:r>
        <w:br w:type="page"/>
      </w:r>
    </w:p>
    <w:p w:rsidR="00AF3D26" w:rsidRPr="00960F10" w:rsidRDefault="004A4FCD" w:rsidP="00AF3D26">
      <w:pPr>
        <w:rPr>
          <w:rFonts w:cs="Calibri"/>
          <w:b/>
          <w:bCs/>
          <w:u w:val="single"/>
        </w:rPr>
      </w:pPr>
      <w:r>
        <w:rPr>
          <w:rFonts w:cs="Calibri"/>
          <w:b/>
          <w:bCs/>
          <w:u w:val="single"/>
        </w:rPr>
        <w:lastRenderedPageBreak/>
        <w:t xml:space="preserve">Attachment B - </w:t>
      </w:r>
      <w:r w:rsidR="00AF3D26" w:rsidRPr="00960F10">
        <w:rPr>
          <w:rFonts w:cs="Calibri"/>
          <w:b/>
          <w:bCs/>
          <w:u w:val="single"/>
        </w:rPr>
        <w:t xml:space="preserve">Background for </w:t>
      </w:r>
      <w:r w:rsidR="00AF3D26">
        <w:rPr>
          <w:rFonts w:cs="Calibri"/>
          <w:b/>
          <w:bCs/>
          <w:u w:val="single"/>
        </w:rPr>
        <w:t>Residential DTS</w:t>
      </w:r>
      <w:r w:rsidR="00AF3D26" w:rsidRPr="00960F10">
        <w:rPr>
          <w:rFonts w:cs="Calibri"/>
          <w:b/>
          <w:bCs/>
          <w:u w:val="single"/>
        </w:rPr>
        <w:t xml:space="preserve"> Related EUS Values:</w:t>
      </w:r>
    </w:p>
    <w:p w:rsidR="007A6E17" w:rsidRDefault="00AF3D26" w:rsidP="007A6E17">
      <w:pPr>
        <w:rPr>
          <w:rFonts w:cs="Calibri"/>
        </w:rPr>
      </w:pPr>
      <w:r>
        <w:rPr>
          <w:rFonts w:cs="Calibri"/>
        </w:rPr>
        <w:t xml:space="preserve">UES values for the DTS </w:t>
      </w:r>
      <w:r w:rsidR="007D4E1D">
        <w:rPr>
          <w:rFonts w:cs="Calibri"/>
        </w:rPr>
        <w:t xml:space="preserve">are </w:t>
      </w:r>
      <w:r>
        <w:rPr>
          <w:rFonts w:cs="Calibri"/>
        </w:rPr>
        <w:t xml:space="preserve">taken directly from DEER.  There are two measures in DEER, one for high initial duct leakage (measure ID </w:t>
      </w:r>
      <w:r w:rsidRPr="0063290B">
        <w:rPr>
          <w:rFonts w:cs="Calibri"/>
          <w:i/>
        </w:rPr>
        <w:t>Res-DuctSeal-HighToLow-wtd</w:t>
      </w:r>
      <w:r>
        <w:rPr>
          <w:rFonts w:cs="Calibri"/>
        </w:rPr>
        <w:t xml:space="preserve">) and medium initial duct leakage (measure ID </w:t>
      </w:r>
      <w:r w:rsidRPr="0063290B">
        <w:rPr>
          <w:rFonts w:cs="Calibri"/>
          <w:i/>
        </w:rPr>
        <w:t>Res-DuctSeal-MedToLow-wtd</w:t>
      </w:r>
      <w:r>
        <w:rPr>
          <w:rFonts w:cs="Calibri"/>
        </w:rPr>
        <w:t xml:space="preserve">). </w:t>
      </w:r>
      <w:r w:rsidR="007A6E17">
        <w:rPr>
          <w:rFonts w:cs="Calibri"/>
        </w:rPr>
        <w:t>Disposition U</w:t>
      </w:r>
      <w:r w:rsidR="007D4E1D">
        <w:rPr>
          <w:rFonts w:cs="Calibri"/>
        </w:rPr>
        <w:t>E</w:t>
      </w:r>
      <w:r w:rsidR="007A6E17">
        <w:rPr>
          <w:rFonts w:cs="Calibri"/>
        </w:rPr>
        <w:t xml:space="preserve">S values are the weighted average of those provided in the two measures.  </w:t>
      </w:r>
      <w:r w:rsidR="007D4E1D">
        <w:rPr>
          <w:rFonts w:cs="Calibri"/>
        </w:rPr>
        <w:t>Additionally, s</w:t>
      </w:r>
      <w:r w:rsidR="007A6E17">
        <w:rPr>
          <w:rFonts w:cs="Calibri"/>
        </w:rPr>
        <w:t>taff assigns the following incidence factors:</w:t>
      </w:r>
    </w:p>
    <w:p w:rsidR="007A6E17" w:rsidRDefault="00664F4D" w:rsidP="00664F4D">
      <w:pPr>
        <w:tabs>
          <w:tab w:val="right" w:pos="3600"/>
          <w:tab w:val="left" w:pos="3690"/>
        </w:tabs>
        <w:spacing w:after="0" w:line="240" w:lineRule="auto"/>
        <w:rPr>
          <w:rFonts w:cs="Calibri"/>
        </w:rPr>
      </w:pPr>
      <w:r>
        <w:rPr>
          <w:rFonts w:cs="Calibri"/>
        </w:rPr>
        <w:tab/>
        <w:t>High initial leakage:</w:t>
      </w:r>
      <w:r>
        <w:rPr>
          <w:rFonts w:cs="Calibri"/>
        </w:rPr>
        <w:tab/>
      </w:r>
      <w:r w:rsidR="007A6E17">
        <w:rPr>
          <w:rFonts w:cs="Calibri"/>
        </w:rPr>
        <w:t>0.14</w:t>
      </w:r>
    </w:p>
    <w:p w:rsidR="007A6E17" w:rsidRPr="00346F22" w:rsidRDefault="00664F4D" w:rsidP="00664F4D">
      <w:pPr>
        <w:tabs>
          <w:tab w:val="right" w:pos="3600"/>
          <w:tab w:val="left" w:pos="3690"/>
        </w:tabs>
        <w:spacing w:after="0" w:line="240" w:lineRule="auto"/>
        <w:rPr>
          <w:rFonts w:cs="Calibri"/>
        </w:rPr>
      </w:pPr>
      <w:r>
        <w:rPr>
          <w:rFonts w:cs="Calibri"/>
        </w:rPr>
        <w:tab/>
        <w:t>Medium initial leakage:</w:t>
      </w:r>
      <w:r>
        <w:rPr>
          <w:rFonts w:cs="Calibri"/>
        </w:rPr>
        <w:tab/>
      </w:r>
      <w:r w:rsidR="007A6E17">
        <w:rPr>
          <w:rFonts w:cs="Calibri"/>
        </w:rPr>
        <w:t>0.39</w:t>
      </w:r>
    </w:p>
    <w:p w:rsidR="00664F4D" w:rsidRDefault="00664F4D" w:rsidP="007A6E17">
      <w:pPr>
        <w:rPr>
          <w:rFonts w:cs="Calibri"/>
        </w:rPr>
      </w:pPr>
    </w:p>
    <w:p w:rsidR="007A6E17" w:rsidRDefault="007A6E17" w:rsidP="007A6E17">
      <w:pPr>
        <w:rPr>
          <w:rFonts w:cs="Calibri"/>
        </w:rPr>
      </w:pPr>
      <w:r>
        <w:rPr>
          <w:rFonts w:cs="Calibri"/>
        </w:rPr>
        <w:t>The statewide installation rate for DTS measures from the 2006-2008 evaluations is 0.463. This essentially means that more than half the installations have no benefit, even if, on those installations, some amount of duct sealing was performed that did not result in requisite reduction in duct leakage. In consideration of partial benefits as well as the likelihood that utilities have instituted improvements to installation and verification, staff believe that the installation rate should be increased by 50%, according to the following equation:</w:t>
      </w:r>
    </w:p>
    <w:p w:rsidR="007A6E17" w:rsidRDefault="007A6E17" w:rsidP="007A6E17">
      <w:pPr>
        <w:ind w:left="720"/>
        <w:rPr>
          <w:rFonts w:cs="Calibri"/>
        </w:rPr>
      </w:pPr>
      <w:r>
        <w:rPr>
          <w:rFonts w:cs="Calibri"/>
        </w:rPr>
        <w:t>IR</w:t>
      </w:r>
      <w:r>
        <w:rPr>
          <w:rFonts w:cs="Calibri"/>
          <w:vertAlign w:val="subscript"/>
        </w:rPr>
        <w:t xml:space="preserve">adj </w:t>
      </w:r>
      <w:r>
        <w:rPr>
          <w:rFonts w:cs="Calibri"/>
        </w:rPr>
        <w:t>= 0.463 + 0.50 * ( 1 – 0.463 ) = 0.73</w:t>
      </w:r>
    </w:p>
    <w:p w:rsidR="00AF3D26" w:rsidRDefault="007A6E17" w:rsidP="007A6E17">
      <w:pPr>
        <w:rPr>
          <w:rFonts w:cs="Calibri"/>
          <w:b/>
          <w:bCs/>
          <w:u w:val="single"/>
        </w:rPr>
      </w:pPr>
      <w:r>
        <w:rPr>
          <w:rFonts w:cs="Calibri"/>
        </w:rPr>
        <w:t xml:space="preserve">Given the lack of precision in the analysis of installation rates, staff </w:t>
      </w:r>
      <w:r w:rsidR="00B751AA">
        <w:rPr>
          <w:rFonts w:cs="Calibri"/>
        </w:rPr>
        <w:t>has</w:t>
      </w:r>
      <w:r>
        <w:rPr>
          <w:rFonts w:cs="Calibri"/>
        </w:rPr>
        <w:t xml:space="preserve"> used an installation rate of 0.75 for DTS measures.</w:t>
      </w:r>
      <w:r w:rsidR="00AF3D26">
        <w:rPr>
          <w:rFonts w:cs="Calibri"/>
          <w:b/>
          <w:bCs/>
          <w:u w:val="single"/>
        </w:rPr>
        <w:br w:type="page"/>
      </w:r>
    </w:p>
    <w:p w:rsidR="006E5A69" w:rsidRPr="00960F10" w:rsidRDefault="004A4FCD" w:rsidP="006E5A69">
      <w:pPr>
        <w:rPr>
          <w:rFonts w:cs="Calibri"/>
          <w:b/>
          <w:bCs/>
          <w:u w:val="single"/>
        </w:rPr>
      </w:pPr>
      <w:r>
        <w:rPr>
          <w:rFonts w:cs="Calibri"/>
          <w:b/>
          <w:bCs/>
          <w:u w:val="single"/>
        </w:rPr>
        <w:lastRenderedPageBreak/>
        <w:t xml:space="preserve">Attachment C - </w:t>
      </w:r>
      <w:r w:rsidR="006E5A69" w:rsidRPr="00960F10">
        <w:rPr>
          <w:rFonts w:cs="Calibri"/>
          <w:b/>
          <w:bCs/>
          <w:u w:val="single"/>
        </w:rPr>
        <w:t xml:space="preserve">Background for </w:t>
      </w:r>
      <w:r w:rsidR="006E5A69">
        <w:rPr>
          <w:rFonts w:cs="Calibri"/>
          <w:b/>
          <w:bCs/>
          <w:u w:val="single"/>
        </w:rPr>
        <w:t>Residential Blower Motor Replacement</w:t>
      </w:r>
      <w:r w:rsidR="006E5A69" w:rsidRPr="00960F10">
        <w:rPr>
          <w:rFonts w:cs="Calibri"/>
          <w:b/>
          <w:bCs/>
          <w:u w:val="single"/>
        </w:rPr>
        <w:t xml:space="preserve"> EUS Values:</w:t>
      </w:r>
    </w:p>
    <w:p w:rsidR="006E5A69" w:rsidRDefault="006E5A69" w:rsidP="006E5A69">
      <w:pPr>
        <w:rPr>
          <w:rFonts w:cs="Calibri"/>
        </w:rPr>
      </w:pPr>
      <w:r>
        <w:rPr>
          <w:rFonts w:cs="Calibri"/>
        </w:rPr>
        <w:t xml:space="preserve">Base UES values for the supply air blower motor replacement are taken from QM workpaper supporting documents.  Savings are for single family air conditioning systems with gas heat only.  Other residential building types or HVAC systems are not covered.  Savings are by climate zone alone and are the same across all IOUs.  </w:t>
      </w:r>
    </w:p>
    <w:p w:rsidR="006E5A69" w:rsidRPr="00B42C35" w:rsidRDefault="00B751AA" w:rsidP="00B751AA">
      <w:pPr>
        <w:pStyle w:val="ListParagraph"/>
        <w:keepNext/>
        <w:numPr>
          <w:ilvl w:val="0"/>
          <w:numId w:val="29"/>
        </w:numPr>
        <w:contextualSpacing w:val="0"/>
        <w:rPr>
          <w:rFonts w:cs="Calibri"/>
          <w:b/>
          <w:bCs/>
          <w:u w:val="single"/>
        </w:rPr>
      </w:pPr>
      <w:r>
        <w:rPr>
          <w:rFonts w:cs="Calibri"/>
          <w:b/>
          <w:bCs/>
          <w:u w:val="single"/>
        </w:rPr>
        <w:t>Savings</w:t>
      </w:r>
      <w:r w:rsidR="006E5A69">
        <w:rPr>
          <w:rFonts w:cs="Calibri"/>
          <w:b/>
          <w:bCs/>
          <w:u w:val="single"/>
        </w:rPr>
        <w:t xml:space="preserve"> Adjustments</w:t>
      </w:r>
    </w:p>
    <w:p w:rsidR="009D1760" w:rsidRPr="00B751AA" w:rsidRDefault="009D1760" w:rsidP="00B751AA">
      <w:pPr>
        <w:ind w:left="360"/>
        <w:rPr>
          <w:rFonts w:cs="Calibri"/>
        </w:rPr>
      </w:pPr>
      <w:r w:rsidRPr="00B751AA">
        <w:rPr>
          <w:rFonts w:cs="Calibri"/>
        </w:rPr>
        <w:t xml:space="preserve">Staff believes the data upon which savings are estimated is limited, may not apply to California HVAC systems and does not account for the limits of the technology.  Specifically, workpaper UES values do not account for the declining efficiency difference between standard PSC and measure BPM motors as motor capacity increases.  This disposition adjusts savings values from those provided in workpapers as described below. Savings calculations are included in the attached workbook </w:t>
      </w:r>
      <w:r w:rsidRPr="00B751AA">
        <w:rPr>
          <w:rFonts w:cs="Calibri"/>
          <w:i/>
        </w:rPr>
        <w:t xml:space="preserve">20132014ResBlowerRaplacementDisposition-v1-2.xlsx.  </w:t>
      </w:r>
    </w:p>
    <w:p w:rsidR="006E5A69" w:rsidRDefault="006E5A69" w:rsidP="009D1760">
      <w:pPr>
        <w:numPr>
          <w:ilvl w:val="0"/>
          <w:numId w:val="25"/>
        </w:numPr>
        <w:spacing w:after="120"/>
        <w:rPr>
          <w:rFonts w:cs="Calibri"/>
        </w:rPr>
      </w:pPr>
      <w:r>
        <w:rPr>
          <w:rFonts w:cs="Calibri"/>
        </w:rPr>
        <w:t xml:space="preserve">Energy Division claims that the efficiency difference between PSC and BPM motors falls to zero as the motor rated capacity reaches 1 </w:t>
      </w:r>
      <w:r w:rsidR="007D4E1D">
        <w:rPr>
          <w:rFonts w:cs="Calibri"/>
        </w:rPr>
        <w:t>horsepower (</w:t>
      </w:r>
      <w:r>
        <w:rPr>
          <w:rFonts w:cs="Calibri"/>
        </w:rPr>
        <w:t>hp</w:t>
      </w:r>
      <w:r w:rsidR="007D4E1D">
        <w:rPr>
          <w:rFonts w:cs="Calibri"/>
        </w:rPr>
        <w:t>)</w:t>
      </w:r>
      <w:r>
        <w:rPr>
          <w:rFonts w:cs="Calibri"/>
        </w:rPr>
        <w:t xml:space="preserve">.  Efficiency differences provided in the workpapers are acceptable for motors with capacities of ½ hp or less.  </w:t>
      </w:r>
    </w:p>
    <w:p w:rsidR="006E5A69" w:rsidRDefault="006E5A69" w:rsidP="009D1760">
      <w:pPr>
        <w:numPr>
          <w:ilvl w:val="0"/>
          <w:numId w:val="25"/>
        </w:numPr>
        <w:spacing w:after="120"/>
        <w:rPr>
          <w:rFonts w:cs="Calibri"/>
        </w:rPr>
      </w:pPr>
      <w:r>
        <w:rPr>
          <w:rFonts w:cs="Calibri"/>
        </w:rPr>
        <w:t xml:space="preserve">The supply air blower motor capacity by unit nominal cooling capacity assumed by Energy Division is provided in </w:t>
      </w:r>
      <w:r w:rsidR="00B751AA">
        <w:rPr>
          <w:rFonts w:cs="Calibri"/>
        </w:rPr>
        <w:fldChar w:fldCharType="begin"/>
      </w:r>
      <w:r w:rsidR="00B751AA">
        <w:rPr>
          <w:rFonts w:cs="Calibri"/>
        </w:rPr>
        <w:instrText xml:space="preserve"> REF _Ref354035461 </w:instrText>
      </w:r>
      <w:r w:rsidR="00B751AA">
        <w:rPr>
          <w:rFonts w:cs="Calibri"/>
        </w:rPr>
        <w:fldChar w:fldCharType="separate"/>
      </w:r>
      <w:r w:rsidR="00B751AA">
        <w:t>Table C.</w:t>
      </w:r>
      <w:r w:rsidR="00B751AA">
        <w:rPr>
          <w:noProof/>
        </w:rPr>
        <w:t>1</w:t>
      </w:r>
      <w:r w:rsidR="00B751AA">
        <w:rPr>
          <w:rFonts w:cs="Calibri"/>
        </w:rPr>
        <w:fldChar w:fldCharType="end"/>
      </w:r>
      <w:r>
        <w:rPr>
          <w:rFonts w:cs="Calibri"/>
        </w:rPr>
        <w:t xml:space="preserve">.  </w:t>
      </w:r>
    </w:p>
    <w:p w:rsidR="00B751AA" w:rsidRDefault="00B751AA" w:rsidP="00B751AA">
      <w:pPr>
        <w:pStyle w:val="Caption"/>
        <w:keepNext/>
        <w:jc w:val="center"/>
      </w:pPr>
      <w:bookmarkStart w:id="8" w:name="_Ref354035461"/>
      <w:r>
        <w:t>Table C.</w:t>
      </w:r>
      <w:fldSimple w:instr=" SEQ Table_C. \* ARABIC ">
        <w:r>
          <w:rPr>
            <w:noProof/>
          </w:rPr>
          <w:t>1</w:t>
        </w:r>
      </w:fldSimple>
      <w:bookmarkEnd w:id="8"/>
      <w:r>
        <w:t xml:space="preserve"> - Assumed Supply Air Blowr Motor Horsepower</w:t>
      </w:r>
    </w:p>
    <w:tbl>
      <w:tblPr>
        <w:tblW w:w="2350" w:type="dxa"/>
        <w:jc w:val="center"/>
        <w:tblInd w:w="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000"/>
      </w:tblGrid>
      <w:tr w:rsidR="006E5A69" w:rsidRPr="00106D91" w:rsidTr="00B751AA">
        <w:trPr>
          <w:trHeight w:val="300"/>
          <w:jc w:val="center"/>
        </w:trPr>
        <w:tc>
          <w:tcPr>
            <w:tcW w:w="1350" w:type="dxa"/>
            <w:noWrap/>
            <w:vAlign w:val="center"/>
            <w:hideMark/>
          </w:tcPr>
          <w:p w:rsidR="006E5A69" w:rsidRPr="006E5A69" w:rsidRDefault="006E5A69" w:rsidP="009D1760">
            <w:pPr>
              <w:spacing w:after="0"/>
              <w:jc w:val="center"/>
              <w:rPr>
                <w:rFonts w:cs="Calibri"/>
                <w:color w:val="000000"/>
              </w:rPr>
            </w:pPr>
            <w:r w:rsidRPr="006E5A69">
              <w:rPr>
                <w:rFonts w:cs="Calibri"/>
                <w:color w:val="000000"/>
              </w:rPr>
              <w:t>Capacity</w:t>
            </w:r>
          </w:p>
        </w:tc>
        <w:tc>
          <w:tcPr>
            <w:tcW w:w="1000" w:type="dxa"/>
            <w:noWrap/>
            <w:vAlign w:val="center"/>
            <w:hideMark/>
          </w:tcPr>
          <w:p w:rsidR="006E5A69" w:rsidRPr="006E5A69" w:rsidRDefault="006E5A69" w:rsidP="009D1760">
            <w:pPr>
              <w:spacing w:after="0"/>
              <w:jc w:val="center"/>
              <w:rPr>
                <w:rFonts w:cs="Calibri"/>
                <w:color w:val="000000"/>
              </w:rPr>
            </w:pPr>
            <w:r w:rsidRPr="006E5A69">
              <w:rPr>
                <w:rFonts w:cs="Calibri"/>
                <w:color w:val="000000"/>
              </w:rPr>
              <w:t>hp</w:t>
            </w:r>
          </w:p>
        </w:tc>
      </w:tr>
      <w:tr w:rsidR="006E5A69" w:rsidRPr="00106D91" w:rsidTr="00B751AA">
        <w:trPr>
          <w:trHeight w:val="300"/>
          <w:jc w:val="center"/>
        </w:trPr>
        <w:tc>
          <w:tcPr>
            <w:tcW w:w="1350" w:type="dxa"/>
            <w:noWrap/>
            <w:vAlign w:val="bottom"/>
            <w:hideMark/>
          </w:tcPr>
          <w:p w:rsidR="006E5A69" w:rsidRPr="006E5A69" w:rsidRDefault="006E5A69" w:rsidP="009D1760">
            <w:pPr>
              <w:spacing w:after="0"/>
              <w:jc w:val="center"/>
              <w:rPr>
                <w:rFonts w:cs="Calibri"/>
                <w:color w:val="000000"/>
              </w:rPr>
            </w:pPr>
            <w:r w:rsidRPr="006E5A69">
              <w:rPr>
                <w:rFonts w:cs="Calibri"/>
                <w:color w:val="000000"/>
              </w:rPr>
              <w:t>≥ 3.5 tons</w:t>
            </w:r>
          </w:p>
        </w:tc>
        <w:tc>
          <w:tcPr>
            <w:tcW w:w="1000" w:type="dxa"/>
            <w:noWrap/>
            <w:vAlign w:val="center"/>
            <w:hideMark/>
          </w:tcPr>
          <w:p w:rsidR="006E5A69" w:rsidRPr="006E5A69" w:rsidRDefault="006E5A69" w:rsidP="009D1760">
            <w:pPr>
              <w:spacing w:after="0"/>
              <w:jc w:val="center"/>
              <w:rPr>
                <w:rFonts w:cs="Calibri"/>
                <w:color w:val="000000"/>
              </w:rPr>
            </w:pPr>
            <w:r w:rsidRPr="006E5A69">
              <w:rPr>
                <w:rFonts w:cs="Calibri"/>
                <w:color w:val="000000"/>
              </w:rPr>
              <w:t>1/2</w:t>
            </w:r>
          </w:p>
        </w:tc>
      </w:tr>
      <w:tr w:rsidR="006E5A69" w:rsidRPr="00106D91" w:rsidTr="00B751AA">
        <w:trPr>
          <w:trHeight w:val="300"/>
          <w:jc w:val="center"/>
        </w:trPr>
        <w:tc>
          <w:tcPr>
            <w:tcW w:w="1350" w:type="dxa"/>
            <w:noWrap/>
            <w:vAlign w:val="bottom"/>
            <w:hideMark/>
          </w:tcPr>
          <w:p w:rsidR="006E5A69" w:rsidRPr="006E5A69" w:rsidRDefault="006E5A69" w:rsidP="009D1760">
            <w:pPr>
              <w:spacing w:after="0"/>
              <w:jc w:val="center"/>
              <w:rPr>
                <w:rFonts w:cs="Calibri"/>
                <w:color w:val="000000"/>
              </w:rPr>
            </w:pPr>
            <w:r w:rsidRPr="006E5A69">
              <w:rPr>
                <w:rFonts w:cs="Calibri"/>
                <w:color w:val="000000"/>
              </w:rPr>
              <w:t>4 tons</w:t>
            </w:r>
          </w:p>
        </w:tc>
        <w:tc>
          <w:tcPr>
            <w:tcW w:w="1000" w:type="dxa"/>
            <w:noWrap/>
            <w:vAlign w:val="center"/>
            <w:hideMark/>
          </w:tcPr>
          <w:p w:rsidR="006E5A69" w:rsidRPr="006E5A69" w:rsidRDefault="006E5A69" w:rsidP="009D1760">
            <w:pPr>
              <w:spacing w:after="0"/>
              <w:jc w:val="center"/>
              <w:rPr>
                <w:rFonts w:cs="Calibri"/>
                <w:color w:val="000000"/>
              </w:rPr>
            </w:pPr>
            <w:r w:rsidRPr="006E5A69">
              <w:rPr>
                <w:rFonts w:cs="Calibri"/>
                <w:color w:val="000000"/>
              </w:rPr>
              <w:t>3/4</w:t>
            </w:r>
          </w:p>
        </w:tc>
      </w:tr>
      <w:tr w:rsidR="006E5A69" w:rsidRPr="00106D91" w:rsidTr="00B751AA">
        <w:trPr>
          <w:trHeight w:val="300"/>
          <w:jc w:val="center"/>
        </w:trPr>
        <w:tc>
          <w:tcPr>
            <w:tcW w:w="1350" w:type="dxa"/>
            <w:noWrap/>
            <w:vAlign w:val="bottom"/>
            <w:hideMark/>
          </w:tcPr>
          <w:p w:rsidR="006E5A69" w:rsidRPr="006E5A69" w:rsidRDefault="006E5A69" w:rsidP="009D1760">
            <w:pPr>
              <w:spacing w:after="0"/>
              <w:jc w:val="center"/>
              <w:rPr>
                <w:rFonts w:cs="Calibri"/>
                <w:color w:val="000000"/>
              </w:rPr>
            </w:pPr>
            <w:r w:rsidRPr="006E5A69">
              <w:rPr>
                <w:rFonts w:cs="Calibri"/>
                <w:color w:val="000000"/>
              </w:rPr>
              <w:t>5 tons</w:t>
            </w:r>
          </w:p>
        </w:tc>
        <w:tc>
          <w:tcPr>
            <w:tcW w:w="1000" w:type="dxa"/>
            <w:noWrap/>
            <w:vAlign w:val="center"/>
            <w:hideMark/>
          </w:tcPr>
          <w:p w:rsidR="006E5A69" w:rsidRPr="006E5A69" w:rsidRDefault="006E5A69" w:rsidP="009D1760">
            <w:pPr>
              <w:spacing w:after="0"/>
              <w:jc w:val="center"/>
              <w:rPr>
                <w:rFonts w:cs="Calibri"/>
                <w:color w:val="000000"/>
              </w:rPr>
            </w:pPr>
            <w:r w:rsidRPr="006E5A69">
              <w:rPr>
                <w:rFonts w:cs="Calibri"/>
                <w:color w:val="000000"/>
              </w:rPr>
              <w:t>1</w:t>
            </w:r>
          </w:p>
        </w:tc>
      </w:tr>
    </w:tbl>
    <w:p w:rsidR="00B751AA" w:rsidRDefault="00B751AA" w:rsidP="00B751AA">
      <w:pPr>
        <w:spacing w:after="120"/>
        <w:ind w:left="720"/>
        <w:rPr>
          <w:rFonts w:cs="Calibri"/>
        </w:rPr>
      </w:pPr>
    </w:p>
    <w:p w:rsidR="006E5A69" w:rsidRDefault="006E5A69" w:rsidP="009D1760">
      <w:pPr>
        <w:numPr>
          <w:ilvl w:val="0"/>
          <w:numId w:val="26"/>
        </w:numPr>
        <w:spacing w:after="120"/>
        <w:rPr>
          <w:rFonts w:cs="Calibri"/>
        </w:rPr>
      </w:pPr>
      <w:r>
        <w:rPr>
          <w:rFonts w:cs="Calibri"/>
        </w:rPr>
        <w:t>Energy Division assumes the efficiency differences between PSC and BPM ¾ hp motors is assumed to produce half the savings claimed in workpapers.  The PSC and BPM 1 hp motors are assumed to operate at the same efficiency.</w:t>
      </w:r>
    </w:p>
    <w:p w:rsidR="006E5A69" w:rsidRDefault="006E5A69" w:rsidP="009D1760">
      <w:pPr>
        <w:numPr>
          <w:ilvl w:val="0"/>
          <w:numId w:val="26"/>
        </w:numPr>
        <w:spacing w:after="120"/>
        <w:rPr>
          <w:rFonts w:cs="Calibri"/>
        </w:rPr>
      </w:pPr>
      <w:r>
        <w:rPr>
          <w:rFonts w:cs="Calibri"/>
        </w:rPr>
        <w:t xml:space="preserve">The distribution of nominal cooling capacities for residential cooling systems was estimated from the database of units in the 2006-2008 evaluation of </w:t>
      </w:r>
      <w:r w:rsidR="007D4E1D">
        <w:rPr>
          <w:rFonts w:cs="Calibri"/>
        </w:rPr>
        <w:t>air conditioner</w:t>
      </w:r>
      <w:r>
        <w:rPr>
          <w:rFonts w:cs="Calibri"/>
        </w:rPr>
        <w:t xml:space="preserve"> replacement programs.  Other program evaluation data were examined </w:t>
      </w:r>
      <w:r w:rsidR="007D4E1D">
        <w:rPr>
          <w:rFonts w:cs="Calibri"/>
        </w:rPr>
        <w:t xml:space="preserve">for </w:t>
      </w:r>
      <w:r>
        <w:rPr>
          <w:rFonts w:cs="Calibri"/>
        </w:rPr>
        <w:t>RCA and DTS, but much of it was for multi-family sites not covered by the QM programs.  From th</w:t>
      </w:r>
      <w:r w:rsidR="007D4E1D">
        <w:rPr>
          <w:rFonts w:cs="Calibri"/>
        </w:rPr>
        <w:t>e 2006-2008</w:t>
      </w:r>
      <w:r>
        <w:rPr>
          <w:rFonts w:cs="Calibri"/>
        </w:rPr>
        <w:t xml:space="preserve"> data, the distribution of units by nominal cooling capacity is provided in </w:t>
      </w:r>
      <w:r w:rsidR="00B751AA">
        <w:rPr>
          <w:rFonts w:cs="Calibri"/>
        </w:rPr>
        <w:fldChar w:fldCharType="begin"/>
      </w:r>
      <w:r w:rsidR="00B751AA">
        <w:rPr>
          <w:rFonts w:cs="Calibri"/>
        </w:rPr>
        <w:instrText xml:space="preserve"> REF _Ref354035443 </w:instrText>
      </w:r>
      <w:r w:rsidR="00B751AA">
        <w:rPr>
          <w:rFonts w:cs="Calibri"/>
        </w:rPr>
        <w:fldChar w:fldCharType="separate"/>
      </w:r>
      <w:r w:rsidR="00B751AA">
        <w:t>Table C.</w:t>
      </w:r>
      <w:r w:rsidR="00B751AA">
        <w:rPr>
          <w:noProof/>
        </w:rPr>
        <w:t>2</w:t>
      </w:r>
      <w:r w:rsidR="00B751AA">
        <w:rPr>
          <w:rFonts w:cs="Calibri"/>
        </w:rPr>
        <w:fldChar w:fldCharType="end"/>
      </w:r>
      <w:r>
        <w:rPr>
          <w:rFonts w:cs="Calibri"/>
        </w:rPr>
        <w:t>.</w:t>
      </w:r>
    </w:p>
    <w:p w:rsidR="00B751AA" w:rsidRDefault="00B751AA" w:rsidP="00B751AA">
      <w:pPr>
        <w:pStyle w:val="Caption"/>
        <w:keepNext/>
        <w:jc w:val="center"/>
      </w:pPr>
      <w:bookmarkStart w:id="9" w:name="_Ref354035443"/>
      <w:r>
        <w:lastRenderedPageBreak/>
        <w:t>Table C.</w:t>
      </w:r>
      <w:fldSimple w:instr=" SEQ Table_C. \* ARABIC ">
        <w:r>
          <w:rPr>
            <w:noProof/>
          </w:rPr>
          <w:t>2</w:t>
        </w:r>
      </w:fldSimple>
      <w:bookmarkEnd w:id="9"/>
      <w:r>
        <w:t xml:space="preserve"> - Distribution of Cooling Equipment by Nomincal Cooling Capacity</w:t>
      </w:r>
    </w:p>
    <w:tbl>
      <w:tblPr>
        <w:tblW w:w="2350" w:type="dxa"/>
        <w:jc w:val="center"/>
        <w:tblInd w:w="3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000"/>
      </w:tblGrid>
      <w:tr w:rsidR="006E5A69" w:rsidRPr="00106D91" w:rsidTr="00B751AA">
        <w:trPr>
          <w:trHeight w:val="300"/>
          <w:jc w:val="center"/>
        </w:trPr>
        <w:tc>
          <w:tcPr>
            <w:tcW w:w="1350" w:type="dxa"/>
            <w:noWrap/>
            <w:vAlign w:val="center"/>
            <w:hideMark/>
          </w:tcPr>
          <w:p w:rsidR="006E5A69" w:rsidRPr="006E5A69" w:rsidRDefault="006E5A69" w:rsidP="009D1760">
            <w:pPr>
              <w:keepNext/>
              <w:spacing w:after="0"/>
              <w:jc w:val="center"/>
              <w:rPr>
                <w:rFonts w:cs="Calibri"/>
                <w:color w:val="000000"/>
              </w:rPr>
            </w:pPr>
            <w:r w:rsidRPr="006E5A69">
              <w:rPr>
                <w:rFonts w:cs="Calibri"/>
                <w:color w:val="000000"/>
              </w:rPr>
              <w:t>Capacity</w:t>
            </w:r>
          </w:p>
        </w:tc>
        <w:tc>
          <w:tcPr>
            <w:tcW w:w="1000" w:type="dxa"/>
            <w:noWrap/>
            <w:vAlign w:val="center"/>
            <w:hideMark/>
          </w:tcPr>
          <w:p w:rsidR="006E5A69" w:rsidRPr="006E5A69" w:rsidRDefault="006E5A69" w:rsidP="009D1760">
            <w:pPr>
              <w:keepNext/>
              <w:spacing w:after="0"/>
              <w:jc w:val="center"/>
              <w:rPr>
                <w:rFonts w:cs="Calibri"/>
                <w:color w:val="000000"/>
              </w:rPr>
            </w:pPr>
            <w:r w:rsidRPr="006E5A69">
              <w:rPr>
                <w:rFonts w:cs="Calibri"/>
                <w:color w:val="000000"/>
              </w:rPr>
              <w:t>hp</w:t>
            </w:r>
          </w:p>
        </w:tc>
      </w:tr>
      <w:tr w:rsidR="006E5A69" w:rsidRPr="00106D91" w:rsidTr="00B751AA">
        <w:trPr>
          <w:trHeight w:val="300"/>
          <w:jc w:val="center"/>
        </w:trPr>
        <w:tc>
          <w:tcPr>
            <w:tcW w:w="1350" w:type="dxa"/>
            <w:noWrap/>
            <w:vAlign w:val="bottom"/>
            <w:hideMark/>
          </w:tcPr>
          <w:p w:rsidR="006E5A69" w:rsidRPr="006E5A69" w:rsidRDefault="006E5A69" w:rsidP="009D1760">
            <w:pPr>
              <w:keepNext/>
              <w:spacing w:after="0"/>
              <w:jc w:val="center"/>
              <w:rPr>
                <w:rFonts w:cs="Calibri"/>
                <w:color w:val="000000"/>
              </w:rPr>
            </w:pPr>
            <w:r w:rsidRPr="006E5A69">
              <w:rPr>
                <w:rFonts w:cs="Calibri"/>
                <w:color w:val="000000"/>
              </w:rPr>
              <w:t>≥ 3.5</w:t>
            </w:r>
            <w:r>
              <w:rPr>
                <w:rFonts w:cs="Calibri"/>
                <w:color w:val="000000"/>
              </w:rPr>
              <w:t xml:space="preserve"> </w:t>
            </w:r>
            <w:r w:rsidRPr="006E5A69">
              <w:rPr>
                <w:rFonts w:cs="Calibri"/>
                <w:color w:val="000000"/>
              </w:rPr>
              <w:t>tons</w:t>
            </w:r>
          </w:p>
        </w:tc>
        <w:tc>
          <w:tcPr>
            <w:tcW w:w="1000" w:type="dxa"/>
            <w:noWrap/>
            <w:vAlign w:val="center"/>
            <w:hideMark/>
          </w:tcPr>
          <w:p w:rsidR="006E5A69" w:rsidRPr="006E5A69" w:rsidRDefault="006E5A69" w:rsidP="009D1760">
            <w:pPr>
              <w:keepNext/>
              <w:spacing w:after="0"/>
              <w:rPr>
                <w:rFonts w:cs="Calibri"/>
                <w:color w:val="000000"/>
              </w:rPr>
            </w:pPr>
            <w:r w:rsidRPr="006E5A69">
              <w:rPr>
                <w:rFonts w:cs="Calibri"/>
                <w:color w:val="000000"/>
              </w:rPr>
              <w:t>50.9%</w:t>
            </w:r>
          </w:p>
        </w:tc>
      </w:tr>
      <w:tr w:rsidR="006E5A69" w:rsidRPr="00106D91" w:rsidTr="00B751AA">
        <w:trPr>
          <w:trHeight w:val="300"/>
          <w:jc w:val="center"/>
        </w:trPr>
        <w:tc>
          <w:tcPr>
            <w:tcW w:w="1350" w:type="dxa"/>
            <w:noWrap/>
            <w:vAlign w:val="bottom"/>
            <w:hideMark/>
          </w:tcPr>
          <w:p w:rsidR="006E5A69" w:rsidRPr="006E5A69" w:rsidRDefault="006E5A69" w:rsidP="009D1760">
            <w:pPr>
              <w:keepNext/>
              <w:spacing w:after="0"/>
              <w:jc w:val="center"/>
              <w:rPr>
                <w:rFonts w:cs="Calibri"/>
                <w:color w:val="000000"/>
              </w:rPr>
            </w:pPr>
            <w:r w:rsidRPr="006E5A69">
              <w:rPr>
                <w:rFonts w:cs="Calibri"/>
                <w:color w:val="000000"/>
              </w:rPr>
              <w:t>4 tons</w:t>
            </w:r>
          </w:p>
        </w:tc>
        <w:tc>
          <w:tcPr>
            <w:tcW w:w="1000" w:type="dxa"/>
            <w:noWrap/>
            <w:vAlign w:val="center"/>
            <w:hideMark/>
          </w:tcPr>
          <w:p w:rsidR="006E5A69" w:rsidRPr="006E5A69" w:rsidRDefault="006E5A69" w:rsidP="009D1760">
            <w:pPr>
              <w:keepNext/>
              <w:spacing w:after="0"/>
              <w:rPr>
                <w:rFonts w:cs="Calibri"/>
                <w:color w:val="000000"/>
              </w:rPr>
            </w:pPr>
            <w:r w:rsidRPr="006E5A69">
              <w:rPr>
                <w:rFonts w:cs="Calibri"/>
                <w:color w:val="000000"/>
              </w:rPr>
              <w:t>30.3%</w:t>
            </w:r>
          </w:p>
        </w:tc>
      </w:tr>
      <w:tr w:rsidR="006E5A69" w:rsidRPr="00106D91" w:rsidTr="00B751AA">
        <w:trPr>
          <w:trHeight w:val="300"/>
          <w:jc w:val="center"/>
        </w:trPr>
        <w:tc>
          <w:tcPr>
            <w:tcW w:w="1350" w:type="dxa"/>
            <w:noWrap/>
            <w:vAlign w:val="bottom"/>
            <w:hideMark/>
          </w:tcPr>
          <w:p w:rsidR="006E5A69" w:rsidRPr="006E5A69" w:rsidRDefault="006E5A69" w:rsidP="009D1760">
            <w:pPr>
              <w:spacing w:after="0"/>
              <w:jc w:val="center"/>
              <w:rPr>
                <w:rFonts w:cs="Calibri"/>
                <w:color w:val="000000"/>
              </w:rPr>
            </w:pPr>
            <w:r w:rsidRPr="006E5A69">
              <w:rPr>
                <w:rFonts w:cs="Calibri"/>
                <w:color w:val="000000"/>
              </w:rPr>
              <w:t>5 tons</w:t>
            </w:r>
          </w:p>
        </w:tc>
        <w:tc>
          <w:tcPr>
            <w:tcW w:w="1000" w:type="dxa"/>
            <w:noWrap/>
            <w:vAlign w:val="center"/>
            <w:hideMark/>
          </w:tcPr>
          <w:p w:rsidR="006E5A69" w:rsidRPr="006E5A69" w:rsidRDefault="006E5A69" w:rsidP="009D1760">
            <w:pPr>
              <w:spacing w:after="0"/>
              <w:rPr>
                <w:rFonts w:cs="Calibri"/>
                <w:color w:val="000000"/>
              </w:rPr>
            </w:pPr>
            <w:r w:rsidRPr="006E5A69">
              <w:rPr>
                <w:rFonts w:cs="Calibri"/>
                <w:color w:val="000000"/>
              </w:rPr>
              <w:t>18.8%</w:t>
            </w:r>
          </w:p>
        </w:tc>
      </w:tr>
    </w:tbl>
    <w:p w:rsidR="006E5A69" w:rsidRDefault="006E5A69" w:rsidP="009D1760">
      <w:pPr>
        <w:numPr>
          <w:ilvl w:val="0"/>
          <w:numId w:val="26"/>
        </w:numPr>
        <w:spacing w:before="120" w:after="120"/>
        <w:rPr>
          <w:rFonts w:cs="Calibri"/>
        </w:rPr>
      </w:pPr>
      <w:r>
        <w:rPr>
          <w:rFonts w:cs="Calibri"/>
        </w:rPr>
        <w:t>Based on the distribution of unit</w:t>
      </w:r>
      <w:r w:rsidR="007D4E1D">
        <w:rPr>
          <w:rFonts w:cs="Calibri"/>
        </w:rPr>
        <w:t>s</w:t>
      </w:r>
      <w:r>
        <w:rPr>
          <w:rFonts w:cs="Calibri"/>
        </w:rPr>
        <w:t xml:space="preserve"> provided in Table 2</w:t>
      </w:r>
      <w:r w:rsidR="007D4E1D">
        <w:rPr>
          <w:rFonts w:cs="Calibri"/>
        </w:rPr>
        <w:t>,</w:t>
      </w:r>
      <w:r>
        <w:rPr>
          <w:rFonts w:cs="Calibri"/>
        </w:rPr>
        <w:t xml:space="preserve"> and the assumed efficiency declines noted in Item 3, Energy Division believes that workpaper UES values should be reduced by 33.9%.  This assumes that there are only ½ the benefit for 30.3% of the motors replaced (4 ton units) and no benefit for 18.8% of the motors replaced (5 ton units).</w:t>
      </w:r>
    </w:p>
    <w:p w:rsidR="006E5A69" w:rsidRPr="00B751AA" w:rsidRDefault="006E5A69" w:rsidP="006E5A69">
      <w:pPr>
        <w:pStyle w:val="ListParagraph"/>
        <w:keepNext/>
        <w:numPr>
          <w:ilvl w:val="0"/>
          <w:numId w:val="24"/>
        </w:numPr>
        <w:contextualSpacing w:val="0"/>
        <w:rPr>
          <w:rFonts w:cs="Calibri"/>
        </w:rPr>
      </w:pPr>
      <w:r w:rsidRPr="00B751AA">
        <w:rPr>
          <w:rFonts w:cs="Calibri"/>
          <w:b/>
          <w:bCs/>
          <w:u w:val="single"/>
        </w:rPr>
        <w:t>EUL:</w:t>
      </w:r>
      <w:r w:rsidR="00B751AA">
        <w:rPr>
          <w:rFonts w:cs="Calibri"/>
          <w:b/>
          <w:bCs/>
        </w:rPr>
        <w:t xml:space="preserve"> </w:t>
      </w:r>
      <w:r w:rsidRPr="00B751AA">
        <w:rPr>
          <w:rFonts w:cs="Calibri"/>
        </w:rPr>
        <w:t>The blower motor is an addition to an existing system.  Program rules limit the EUL of maintenance on an existing system to no more than system’s RUL.  By rule, this is 1/3 of the 15 year EUL for direct expansion HVAC system, or 5 years.</w:t>
      </w:r>
    </w:p>
    <w:p w:rsidR="006E5A69" w:rsidRPr="00B751AA" w:rsidRDefault="006E5A69" w:rsidP="006E5A69">
      <w:pPr>
        <w:pStyle w:val="ListParagraph"/>
        <w:keepNext/>
        <w:numPr>
          <w:ilvl w:val="0"/>
          <w:numId w:val="24"/>
        </w:numPr>
        <w:contextualSpacing w:val="0"/>
        <w:rPr>
          <w:rFonts w:cs="Calibri"/>
        </w:rPr>
      </w:pPr>
      <w:r w:rsidRPr="00B751AA">
        <w:rPr>
          <w:rFonts w:cs="Calibri"/>
          <w:b/>
          <w:bCs/>
          <w:u w:val="single"/>
        </w:rPr>
        <w:t>Net-to-Gross:</w:t>
      </w:r>
      <w:r w:rsidR="00B751AA">
        <w:rPr>
          <w:rFonts w:cs="Calibri"/>
          <w:b/>
          <w:bCs/>
        </w:rPr>
        <w:t xml:space="preserve"> </w:t>
      </w:r>
      <w:r w:rsidR="00B751AA">
        <w:t>The NTG shall be 0.70, which is the DEER value for all other residential measures with moderate market share and no convincing strategies to discourage free ridership.</w:t>
      </w:r>
    </w:p>
    <w:p w:rsidR="006E5A69" w:rsidRPr="007A661A" w:rsidRDefault="006E5A69" w:rsidP="006E5A69">
      <w:pPr>
        <w:ind w:left="360"/>
        <w:rPr>
          <w:rFonts w:cs="Calibri"/>
        </w:rPr>
      </w:pPr>
    </w:p>
    <w:p w:rsidR="004A4FCD" w:rsidRPr="007A661A" w:rsidRDefault="004A4FCD" w:rsidP="00AF3D26">
      <w:pPr>
        <w:rPr>
          <w:rFonts w:cs="Calibri"/>
        </w:rPr>
      </w:pPr>
    </w:p>
    <w:p w:rsidR="004A4FCD" w:rsidRDefault="00F321EF" w:rsidP="004A4FCD">
      <w:r>
        <w:rPr>
          <w:b/>
        </w:rPr>
        <w:t>References</w:t>
      </w:r>
    </w:p>
    <w:p w:rsidR="00F321EF" w:rsidRDefault="00F321EF" w:rsidP="00F321EF">
      <w:pPr>
        <w:pStyle w:val="Caption"/>
        <w:keepNext/>
      </w:pPr>
      <w:r>
        <w:t>Residential HVAC Maintenance Savings Values</w:t>
      </w:r>
    </w:p>
    <w:p w:rsidR="00F321EF" w:rsidRDefault="00F321EF" w:rsidP="004A4FCD">
      <w:r>
        <w:object w:dxaOrig="1513" w:dyaOrig="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pt;height:47.55pt" o:ole="">
            <v:imagedata r:id="rId9" o:title=""/>
          </v:shape>
          <o:OLEObject Type="Embed" ProgID="Excel.Sheet.12" ShapeID="_x0000_i1025" DrawAspect="Icon" ObjectID="_1429013584" r:id="rId10"/>
        </w:object>
      </w:r>
    </w:p>
    <w:p w:rsidR="00F321EF" w:rsidRDefault="00F321EF" w:rsidP="004A4FCD"/>
    <w:p w:rsidR="00F321EF" w:rsidRDefault="00F321EF" w:rsidP="00F321EF">
      <w:pPr>
        <w:pStyle w:val="Caption"/>
        <w:keepNext/>
      </w:pPr>
      <w:r>
        <w:t>Residential HVAC Indoor Fan Motor Replacement Savings Values</w:t>
      </w:r>
    </w:p>
    <w:p w:rsidR="00F321EF" w:rsidRPr="00F321EF" w:rsidRDefault="00F321EF" w:rsidP="004A4FCD">
      <w:r>
        <w:object w:dxaOrig="1513" w:dyaOrig="960">
          <v:shape id="_x0000_i1026" type="#_x0000_t75" style="width:75.7pt;height:47.55pt" o:ole="">
            <v:imagedata r:id="rId11" o:title=""/>
          </v:shape>
          <o:OLEObject Type="Embed" ProgID="Excel.Sheet.12" ShapeID="_x0000_i1026" DrawAspect="Icon" ObjectID="_1429013585" r:id="rId12"/>
        </w:object>
      </w:r>
    </w:p>
    <w:sectPr w:rsidR="00F321EF" w:rsidRPr="00F321EF" w:rsidSect="007420F0">
      <w:headerReference w:type="even" r:id="rId13"/>
      <w:headerReference w:type="default" r:id="rId14"/>
      <w:footerReference w:type="even" r:id="rId15"/>
      <w:footerReference w:type="default" r:id="rId16"/>
      <w:headerReference w:type="first" r:id="rId17"/>
      <w:footerReference w:type="first" r:id="rId18"/>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6B33" w:rsidRDefault="00886B33" w:rsidP="000E70A1">
      <w:pPr>
        <w:spacing w:after="0" w:line="240" w:lineRule="auto"/>
      </w:pPr>
      <w:r>
        <w:separator/>
      </w:r>
    </w:p>
  </w:endnote>
  <w:endnote w:type="continuationSeparator" w:id="0">
    <w:p w:rsidR="00886B33" w:rsidRDefault="00886B33" w:rsidP="000E70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EEC" w:rsidRDefault="00DD7EE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F4D" w:rsidRPr="007B4BBF" w:rsidRDefault="00664F4D" w:rsidP="00C0532D">
    <w:pPr>
      <w:pStyle w:val="Footer"/>
      <w:rPr>
        <w:sz w:val="18"/>
        <w:szCs w:val="18"/>
      </w:rPr>
    </w:pPr>
    <w:r w:rsidRPr="007B4BBF">
      <w:rPr>
        <w:sz w:val="18"/>
        <w:szCs w:val="18"/>
      </w:rPr>
      <w:tab/>
      <w:t xml:space="preserve">page </w:t>
    </w:r>
    <w:r w:rsidRPr="007B4BBF">
      <w:rPr>
        <w:sz w:val="18"/>
        <w:szCs w:val="18"/>
      </w:rPr>
      <w:fldChar w:fldCharType="begin"/>
    </w:r>
    <w:r w:rsidRPr="007B4BBF">
      <w:rPr>
        <w:sz w:val="18"/>
        <w:szCs w:val="18"/>
      </w:rPr>
      <w:instrText xml:space="preserve"> PAGE  \* Arabic  \* MERGEFORMAT </w:instrText>
    </w:r>
    <w:r w:rsidRPr="007B4BBF">
      <w:rPr>
        <w:sz w:val="18"/>
        <w:szCs w:val="18"/>
      </w:rPr>
      <w:fldChar w:fldCharType="separate"/>
    </w:r>
    <w:r w:rsidR="004E196E">
      <w:rPr>
        <w:noProof/>
        <w:sz w:val="18"/>
        <w:szCs w:val="18"/>
      </w:rPr>
      <w:t>11</w:t>
    </w:r>
    <w:r w:rsidRPr="007B4BBF">
      <w:rPr>
        <w:sz w:val="18"/>
        <w:szCs w:val="18"/>
      </w:rPr>
      <w:fldChar w:fldCharType="end"/>
    </w:r>
    <w:r w:rsidRPr="007B4BBF">
      <w:rPr>
        <w:sz w:val="18"/>
        <w:szCs w:val="18"/>
      </w:rPr>
      <w:t xml:space="preserve"> of </w:t>
    </w:r>
    <w:r w:rsidRPr="007B4BBF">
      <w:rPr>
        <w:sz w:val="18"/>
        <w:szCs w:val="18"/>
      </w:rPr>
      <w:fldChar w:fldCharType="begin"/>
    </w:r>
    <w:r w:rsidRPr="007B4BBF">
      <w:rPr>
        <w:sz w:val="18"/>
        <w:szCs w:val="18"/>
      </w:rPr>
      <w:instrText xml:space="preserve"> NUMPAGES   \* MERGEFORMAT </w:instrText>
    </w:r>
    <w:r w:rsidRPr="007B4BBF">
      <w:rPr>
        <w:sz w:val="18"/>
        <w:szCs w:val="18"/>
      </w:rPr>
      <w:fldChar w:fldCharType="separate"/>
    </w:r>
    <w:r w:rsidR="004E196E">
      <w:rPr>
        <w:noProof/>
        <w:sz w:val="18"/>
        <w:szCs w:val="18"/>
      </w:rPr>
      <w:t>11</w:t>
    </w:r>
    <w:r w:rsidRPr="007B4BBF">
      <w:rPr>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F4D" w:rsidRDefault="00664F4D">
    <w:pPr>
      <w:pStyle w:val="Footer"/>
    </w:pPr>
    <w:r>
      <w:tab/>
      <w:t xml:space="preserve">page </w:t>
    </w:r>
    <w:r>
      <w:fldChar w:fldCharType="begin"/>
    </w:r>
    <w:r>
      <w:instrText xml:space="preserve"> PAGE  \* Arabic  \* MERGEFORMAT </w:instrText>
    </w:r>
    <w:r>
      <w:fldChar w:fldCharType="separate"/>
    </w:r>
    <w:r w:rsidR="004E196E">
      <w:rPr>
        <w:noProof/>
      </w:rPr>
      <w:t>1</w:t>
    </w:r>
    <w:r>
      <w:fldChar w:fldCharType="end"/>
    </w:r>
    <w:r>
      <w:t xml:space="preserve"> of </w:t>
    </w:r>
    <w:fldSimple w:instr=" NUMPAGES   \* MERGEFORMAT ">
      <w:r w:rsidR="004E196E">
        <w:rPr>
          <w:noProof/>
        </w:rPr>
        <w:t>1</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6B33" w:rsidRDefault="00886B33" w:rsidP="000E70A1">
      <w:pPr>
        <w:spacing w:after="0" w:line="240" w:lineRule="auto"/>
      </w:pPr>
      <w:r>
        <w:separator/>
      </w:r>
    </w:p>
  </w:footnote>
  <w:footnote w:type="continuationSeparator" w:id="0">
    <w:p w:rsidR="00886B33" w:rsidRDefault="00886B33" w:rsidP="000E70A1">
      <w:pPr>
        <w:spacing w:after="0" w:line="240" w:lineRule="auto"/>
      </w:pPr>
      <w:r>
        <w:continuationSeparator/>
      </w:r>
    </w:p>
  </w:footnote>
  <w:footnote w:id="1">
    <w:p w:rsidR="00000000" w:rsidRDefault="00664F4D" w:rsidP="007A6E17">
      <w:pPr>
        <w:pStyle w:val="FootnoteText"/>
      </w:pPr>
      <w:r>
        <w:rPr>
          <w:rStyle w:val="FootnoteReference"/>
        </w:rPr>
        <w:footnoteRef/>
      </w:r>
      <w:r>
        <w:t xml:space="preserve"> </w:t>
      </w:r>
      <w:r w:rsidRPr="00F90415">
        <w:t>p. 1-212, Mowris, Robert J., Anne Blankenship and Ean Jones, Robert Mowris &amp; Associates, “Field Measurements of Air Conditioners with and without TXVs”, 2004 ACEEE Summer Study Proceedings.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EEC" w:rsidRDefault="00DD7EE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F4D" w:rsidRPr="007B4BBF" w:rsidRDefault="00664F4D" w:rsidP="00C0532D">
    <w:pPr>
      <w:pStyle w:val="Header"/>
      <w:rPr>
        <w:sz w:val="18"/>
        <w:szCs w:val="18"/>
      </w:rPr>
    </w:pPr>
    <w:r w:rsidRPr="007B4BBF">
      <w:rPr>
        <w:sz w:val="18"/>
        <w:szCs w:val="18"/>
      </w:rPr>
      <w:t xml:space="preserve">WORKPAPER DISPOSITION FOR </w:t>
    </w:r>
    <w:r>
      <w:rPr>
        <w:sz w:val="18"/>
        <w:szCs w:val="18"/>
      </w:rPr>
      <w:t>RESIDENTIAL QUALITY MAINTENANCE</w:t>
    </w:r>
  </w:p>
  <w:p w:rsidR="00664F4D" w:rsidRPr="007B4BBF" w:rsidRDefault="00664F4D" w:rsidP="00C0532D">
    <w:pPr>
      <w:pStyle w:val="Header"/>
      <w:rPr>
        <w:sz w:val="18"/>
        <w:szCs w:val="18"/>
      </w:rPr>
    </w:pPr>
    <w:r w:rsidRPr="007B4BBF">
      <w:rPr>
        <w:sz w:val="18"/>
        <w:szCs w:val="18"/>
      </w:rPr>
      <w:t>California Public Utilities Commission, Energy Division</w:t>
    </w:r>
  </w:p>
  <w:p w:rsidR="00664F4D" w:rsidRPr="007B4BBF" w:rsidRDefault="00E06E76" w:rsidP="00C0532D">
    <w:pPr>
      <w:pStyle w:val="Header"/>
      <w:rPr>
        <w:sz w:val="18"/>
        <w:szCs w:val="18"/>
      </w:rPr>
    </w:pPr>
    <w:r>
      <w:rPr>
        <w:sz w:val="18"/>
        <w:szCs w:val="18"/>
      </w:rPr>
      <w:t>May 2</w:t>
    </w:r>
    <w:r w:rsidR="00664F4D">
      <w:rPr>
        <w:sz w:val="18"/>
        <w:szCs w:val="18"/>
      </w:rPr>
      <w:t>, 2013</w:t>
    </w:r>
  </w:p>
  <w:p w:rsidR="00664F4D" w:rsidRDefault="00664F4D" w:rsidP="00C0532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7EEC" w:rsidRDefault="00DD7E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54442"/>
    <w:multiLevelType w:val="hybridMultilevel"/>
    <w:tmpl w:val="97F2BF34"/>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69B0C77"/>
    <w:multiLevelType w:val="hybridMultilevel"/>
    <w:tmpl w:val="AC6EAA66"/>
    <w:lvl w:ilvl="0" w:tplc="0409000F">
      <w:start w:val="1"/>
      <w:numFmt w:val="decimal"/>
      <w:lvlText w:val="%1."/>
      <w:lvlJc w:val="left"/>
      <w:pPr>
        <w:ind w:left="720" w:hanging="360"/>
      </w:pPr>
      <w:rPr>
        <w:rFonts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1226633B"/>
    <w:multiLevelType w:val="hybridMultilevel"/>
    <w:tmpl w:val="42B464A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5157D59"/>
    <w:multiLevelType w:val="hybridMultilevel"/>
    <w:tmpl w:val="34D2B9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4">
    <w:nsid w:val="1CAA5A12"/>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5">
    <w:nsid w:val="21EF7A24"/>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6">
    <w:nsid w:val="230D757D"/>
    <w:multiLevelType w:val="hybridMultilevel"/>
    <w:tmpl w:val="0388C7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235B19A0"/>
    <w:multiLevelType w:val="hybridMultilevel"/>
    <w:tmpl w:val="A712D05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CA86018"/>
    <w:multiLevelType w:val="hybridMultilevel"/>
    <w:tmpl w:val="704805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1110780"/>
    <w:multiLevelType w:val="hybridMultilevel"/>
    <w:tmpl w:val="E82443C0"/>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4B96C97"/>
    <w:multiLevelType w:val="hybridMultilevel"/>
    <w:tmpl w:val="7CF89B9C"/>
    <w:lvl w:ilvl="0" w:tplc="A400033A">
      <w:start w:val="1"/>
      <w:numFmt w:val="bullet"/>
      <w:lvlText w:val="­"/>
      <w:lvlJc w:val="left"/>
      <w:pPr>
        <w:ind w:left="1080" w:hanging="360"/>
      </w:pPr>
      <w:rPr>
        <w:rFonts w:ascii="Calibri" w:hAnsi="Calibri"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1">
    <w:nsid w:val="36A51BBC"/>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12">
    <w:nsid w:val="36E1049E"/>
    <w:multiLevelType w:val="hybridMultilevel"/>
    <w:tmpl w:val="9B802178"/>
    <w:lvl w:ilvl="0" w:tplc="04090017">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3746261F"/>
    <w:multiLevelType w:val="hybridMultilevel"/>
    <w:tmpl w:val="3A4E1E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3C3E4A4C"/>
    <w:multiLevelType w:val="hybridMultilevel"/>
    <w:tmpl w:val="0F847CE6"/>
    <w:lvl w:ilvl="0" w:tplc="46940FCC">
      <w:start w:val="2"/>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
    <w:nsid w:val="40565233"/>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4F581757"/>
    <w:multiLevelType w:val="hybridMultilevel"/>
    <w:tmpl w:val="125C959E"/>
    <w:lvl w:ilvl="0" w:tplc="0409000F">
      <w:start w:val="1"/>
      <w:numFmt w:val="decimal"/>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7">
    <w:nsid w:val="56A8256B"/>
    <w:multiLevelType w:val="multilevel"/>
    <w:tmpl w:val="3574FB22"/>
    <w:lvl w:ilvl="0">
      <w:start w:val="7"/>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18">
    <w:nsid w:val="57C4427B"/>
    <w:multiLevelType w:val="hybridMultilevel"/>
    <w:tmpl w:val="0388C73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59171DEB"/>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0">
    <w:nsid w:val="5D2E77CD"/>
    <w:multiLevelType w:val="multilevel"/>
    <w:tmpl w:val="C0F65644"/>
    <w:lvl w:ilvl="0">
      <w:start w:val="2"/>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21">
    <w:nsid w:val="5D415A88"/>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5E873B24"/>
    <w:multiLevelType w:val="hybridMultilevel"/>
    <w:tmpl w:val="4510DBC4"/>
    <w:lvl w:ilvl="0" w:tplc="A400033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CC177E0"/>
    <w:multiLevelType w:val="hybridMultilevel"/>
    <w:tmpl w:val="37787F66"/>
    <w:lvl w:ilvl="0" w:tplc="04090011">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6CF01124"/>
    <w:multiLevelType w:val="hybridMultilevel"/>
    <w:tmpl w:val="A8B48BFA"/>
    <w:lvl w:ilvl="0" w:tplc="A400033A">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4287C64"/>
    <w:multiLevelType w:val="hybridMultilevel"/>
    <w:tmpl w:val="A07C21A8"/>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26">
    <w:nsid w:val="7B7E6554"/>
    <w:multiLevelType w:val="hybridMultilevel"/>
    <w:tmpl w:val="97681478"/>
    <w:lvl w:ilvl="0" w:tplc="0409000F">
      <w:start w:val="1"/>
      <w:numFmt w:val="decimal"/>
      <w:lvlText w:val="%1."/>
      <w:lvlJc w:val="left"/>
      <w:pPr>
        <w:ind w:left="720" w:hanging="360"/>
      </w:pPr>
      <w:rPr>
        <w:rFonts w:cs="Times New Roman"/>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7BCA422F"/>
    <w:multiLevelType w:val="hybridMultilevel"/>
    <w:tmpl w:val="7834ED38"/>
    <w:lvl w:ilvl="0" w:tplc="EA2644E8">
      <w:start w:val="3"/>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7CF8173E"/>
    <w:multiLevelType w:val="hybridMultilevel"/>
    <w:tmpl w:val="CE449E0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nsid w:val="7F485309"/>
    <w:multiLevelType w:val="hybridMultilevel"/>
    <w:tmpl w:val="A67A2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6"/>
  </w:num>
  <w:num w:numId="3">
    <w:abstractNumId w:val="21"/>
  </w:num>
  <w:num w:numId="4">
    <w:abstractNumId w:val="8"/>
  </w:num>
  <w:num w:numId="5">
    <w:abstractNumId w:val="28"/>
  </w:num>
  <w:num w:numId="6">
    <w:abstractNumId w:val="2"/>
  </w:num>
  <w:num w:numId="7">
    <w:abstractNumId w:val="23"/>
  </w:num>
  <w:num w:numId="8">
    <w:abstractNumId w:val="15"/>
  </w:num>
  <w:num w:numId="9">
    <w:abstractNumId w:val="20"/>
  </w:num>
  <w:num w:numId="10">
    <w:abstractNumId w:val="13"/>
  </w:num>
  <w:num w:numId="11">
    <w:abstractNumId w:val="25"/>
  </w:num>
  <w:num w:numId="12">
    <w:abstractNumId w:val="3"/>
  </w:num>
  <w:num w:numId="13">
    <w:abstractNumId w:val="10"/>
  </w:num>
  <w:num w:numId="14">
    <w:abstractNumId w:val="29"/>
  </w:num>
  <w:num w:numId="15">
    <w:abstractNumId w:val="6"/>
  </w:num>
  <w:num w:numId="16">
    <w:abstractNumId w:val="5"/>
  </w:num>
  <w:num w:numId="17">
    <w:abstractNumId w:val="18"/>
  </w:num>
  <w:num w:numId="18">
    <w:abstractNumId w:val="19"/>
  </w:num>
  <w:num w:numId="19">
    <w:abstractNumId w:val="4"/>
  </w:num>
  <w:num w:numId="20">
    <w:abstractNumId w:val="24"/>
  </w:num>
  <w:num w:numId="21">
    <w:abstractNumId w:val="9"/>
  </w:num>
  <w:num w:numId="22">
    <w:abstractNumId w:val="22"/>
  </w:num>
  <w:num w:numId="23">
    <w:abstractNumId w:val="7"/>
  </w:num>
  <w:num w:numId="24">
    <w:abstractNumId w:val="14"/>
  </w:num>
  <w:num w:numId="25">
    <w:abstractNumId w:val="12"/>
  </w:num>
  <w:num w:numId="26">
    <w:abstractNumId w:val="27"/>
  </w:num>
  <w:num w:numId="27">
    <w:abstractNumId w:val="17"/>
  </w:num>
  <w:num w:numId="28">
    <w:abstractNumId w:val="26"/>
  </w:num>
  <w:num w:numId="29">
    <w:abstractNumId w:val="11"/>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B303C"/>
    <w:rsid w:val="00002A25"/>
    <w:rsid w:val="00014D39"/>
    <w:rsid w:val="00015F65"/>
    <w:rsid w:val="00026A12"/>
    <w:rsid w:val="00030FB0"/>
    <w:rsid w:val="00034AE8"/>
    <w:rsid w:val="00042C20"/>
    <w:rsid w:val="00043F6D"/>
    <w:rsid w:val="0004709D"/>
    <w:rsid w:val="00051079"/>
    <w:rsid w:val="00053FF3"/>
    <w:rsid w:val="00055FC4"/>
    <w:rsid w:val="00067C37"/>
    <w:rsid w:val="000717FE"/>
    <w:rsid w:val="00080E9A"/>
    <w:rsid w:val="00081633"/>
    <w:rsid w:val="00082CA9"/>
    <w:rsid w:val="00095567"/>
    <w:rsid w:val="000B146A"/>
    <w:rsid w:val="000B33BC"/>
    <w:rsid w:val="000B3A74"/>
    <w:rsid w:val="000D04A0"/>
    <w:rsid w:val="000D35F8"/>
    <w:rsid w:val="000E3742"/>
    <w:rsid w:val="000E70A1"/>
    <w:rsid w:val="000F6A82"/>
    <w:rsid w:val="00106D91"/>
    <w:rsid w:val="00112875"/>
    <w:rsid w:val="00124328"/>
    <w:rsid w:val="0012658A"/>
    <w:rsid w:val="0014039F"/>
    <w:rsid w:val="00146BCF"/>
    <w:rsid w:val="00153D56"/>
    <w:rsid w:val="0016053A"/>
    <w:rsid w:val="00165686"/>
    <w:rsid w:val="0018340B"/>
    <w:rsid w:val="00187B12"/>
    <w:rsid w:val="001B1FBB"/>
    <w:rsid w:val="001C5C1C"/>
    <w:rsid w:val="001D7DD7"/>
    <w:rsid w:val="001E3388"/>
    <w:rsid w:val="002016F0"/>
    <w:rsid w:val="00210ACF"/>
    <w:rsid w:val="00223D23"/>
    <w:rsid w:val="00243FA9"/>
    <w:rsid w:val="00245B0F"/>
    <w:rsid w:val="002545F7"/>
    <w:rsid w:val="00257A30"/>
    <w:rsid w:val="00262028"/>
    <w:rsid w:val="00273FB3"/>
    <w:rsid w:val="0028074D"/>
    <w:rsid w:val="00283390"/>
    <w:rsid w:val="002A422E"/>
    <w:rsid w:val="002C0125"/>
    <w:rsid w:val="002E5B62"/>
    <w:rsid w:val="002E695E"/>
    <w:rsid w:val="002F27DB"/>
    <w:rsid w:val="003013ED"/>
    <w:rsid w:val="00302301"/>
    <w:rsid w:val="003105D9"/>
    <w:rsid w:val="00322A72"/>
    <w:rsid w:val="00346F22"/>
    <w:rsid w:val="003630CF"/>
    <w:rsid w:val="00383D3A"/>
    <w:rsid w:val="003B6493"/>
    <w:rsid w:val="003D0CA4"/>
    <w:rsid w:val="003D44D6"/>
    <w:rsid w:val="003D4788"/>
    <w:rsid w:val="003D6049"/>
    <w:rsid w:val="003F0162"/>
    <w:rsid w:val="003F1245"/>
    <w:rsid w:val="003F7718"/>
    <w:rsid w:val="0040181E"/>
    <w:rsid w:val="0040281A"/>
    <w:rsid w:val="004037AC"/>
    <w:rsid w:val="004132D9"/>
    <w:rsid w:val="004215BF"/>
    <w:rsid w:val="00437E0D"/>
    <w:rsid w:val="00441E22"/>
    <w:rsid w:val="00444535"/>
    <w:rsid w:val="004531D0"/>
    <w:rsid w:val="00454309"/>
    <w:rsid w:val="004569E9"/>
    <w:rsid w:val="00470289"/>
    <w:rsid w:val="0048572D"/>
    <w:rsid w:val="00497640"/>
    <w:rsid w:val="004A4FCD"/>
    <w:rsid w:val="004A74A0"/>
    <w:rsid w:val="004B52F9"/>
    <w:rsid w:val="004B5F0C"/>
    <w:rsid w:val="004B798D"/>
    <w:rsid w:val="004D03B5"/>
    <w:rsid w:val="004E196E"/>
    <w:rsid w:val="004E3453"/>
    <w:rsid w:val="004F6FF0"/>
    <w:rsid w:val="00510C2C"/>
    <w:rsid w:val="00511CFA"/>
    <w:rsid w:val="0052101D"/>
    <w:rsid w:val="0053058D"/>
    <w:rsid w:val="00533E15"/>
    <w:rsid w:val="005358EE"/>
    <w:rsid w:val="00537A7A"/>
    <w:rsid w:val="00542EDD"/>
    <w:rsid w:val="00550CF1"/>
    <w:rsid w:val="005547E7"/>
    <w:rsid w:val="00562831"/>
    <w:rsid w:val="005755B0"/>
    <w:rsid w:val="005820BC"/>
    <w:rsid w:val="00590C39"/>
    <w:rsid w:val="0059654E"/>
    <w:rsid w:val="005B033C"/>
    <w:rsid w:val="005D092D"/>
    <w:rsid w:val="005D1215"/>
    <w:rsid w:val="005D2702"/>
    <w:rsid w:val="005D345E"/>
    <w:rsid w:val="005D62E0"/>
    <w:rsid w:val="005E3EE3"/>
    <w:rsid w:val="005E5A55"/>
    <w:rsid w:val="006137ED"/>
    <w:rsid w:val="0062209E"/>
    <w:rsid w:val="006300B4"/>
    <w:rsid w:val="00630619"/>
    <w:rsid w:val="0063290B"/>
    <w:rsid w:val="00633C5E"/>
    <w:rsid w:val="0064069F"/>
    <w:rsid w:val="00660B27"/>
    <w:rsid w:val="00664F4D"/>
    <w:rsid w:val="0067330C"/>
    <w:rsid w:val="00676B38"/>
    <w:rsid w:val="00687D70"/>
    <w:rsid w:val="006A2E34"/>
    <w:rsid w:val="006A4ACA"/>
    <w:rsid w:val="006C0672"/>
    <w:rsid w:val="006C3D24"/>
    <w:rsid w:val="006C5581"/>
    <w:rsid w:val="006D4FCF"/>
    <w:rsid w:val="006D7BC2"/>
    <w:rsid w:val="006E5A69"/>
    <w:rsid w:val="00706DEF"/>
    <w:rsid w:val="007072C0"/>
    <w:rsid w:val="00712925"/>
    <w:rsid w:val="0072405F"/>
    <w:rsid w:val="00726AA5"/>
    <w:rsid w:val="007377AB"/>
    <w:rsid w:val="00740096"/>
    <w:rsid w:val="00741369"/>
    <w:rsid w:val="007420F0"/>
    <w:rsid w:val="00747FAC"/>
    <w:rsid w:val="007703D9"/>
    <w:rsid w:val="007768F5"/>
    <w:rsid w:val="00781765"/>
    <w:rsid w:val="007A39B0"/>
    <w:rsid w:val="007A661A"/>
    <w:rsid w:val="007A6E17"/>
    <w:rsid w:val="007B4BBF"/>
    <w:rsid w:val="007B692A"/>
    <w:rsid w:val="007C0813"/>
    <w:rsid w:val="007C2ACC"/>
    <w:rsid w:val="007D4B9B"/>
    <w:rsid w:val="007D4DDD"/>
    <w:rsid w:val="007D4E1D"/>
    <w:rsid w:val="00801DCD"/>
    <w:rsid w:val="00823CF7"/>
    <w:rsid w:val="008262FE"/>
    <w:rsid w:val="00840E35"/>
    <w:rsid w:val="008553BD"/>
    <w:rsid w:val="0086193B"/>
    <w:rsid w:val="00872DAB"/>
    <w:rsid w:val="008774A6"/>
    <w:rsid w:val="00882907"/>
    <w:rsid w:val="00886B33"/>
    <w:rsid w:val="00893C67"/>
    <w:rsid w:val="008B2D68"/>
    <w:rsid w:val="008C3BD7"/>
    <w:rsid w:val="008C7F61"/>
    <w:rsid w:val="008D642B"/>
    <w:rsid w:val="008D767F"/>
    <w:rsid w:val="008E6B1C"/>
    <w:rsid w:val="008E7062"/>
    <w:rsid w:val="008F35F6"/>
    <w:rsid w:val="008F6C5B"/>
    <w:rsid w:val="009036CD"/>
    <w:rsid w:val="009047DA"/>
    <w:rsid w:val="0090760C"/>
    <w:rsid w:val="009148AC"/>
    <w:rsid w:val="00934E05"/>
    <w:rsid w:val="009608F0"/>
    <w:rsid w:val="00960F10"/>
    <w:rsid w:val="0096184F"/>
    <w:rsid w:val="00975A87"/>
    <w:rsid w:val="00993C2C"/>
    <w:rsid w:val="00997A05"/>
    <w:rsid w:val="009C3051"/>
    <w:rsid w:val="009D1760"/>
    <w:rsid w:val="00A021FB"/>
    <w:rsid w:val="00A1122F"/>
    <w:rsid w:val="00A11247"/>
    <w:rsid w:val="00A12A16"/>
    <w:rsid w:val="00A14E41"/>
    <w:rsid w:val="00A24712"/>
    <w:rsid w:val="00A30380"/>
    <w:rsid w:val="00A32722"/>
    <w:rsid w:val="00A36E8C"/>
    <w:rsid w:val="00A61D93"/>
    <w:rsid w:val="00A62917"/>
    <w:rsid w:val="00A7209F"/>
    <w:rsid w:val="00A873F8"/>
    <w:rsid w:val="00AA04DA"/>
    <w:rsid w:val="00AA0D7B"/>
    <w:rsid w:val="00AB08CD"/>
    <w:rsid w:val="00AC0884"/>
    <w:rsid w:val="00AF349A"/>
    <w:rsid w:val="00AF3D26"/>
    <w:rsid w:val="00B12167"/>
    <w:rsid w:val="00B128E8"/>
    <w:rsid w:val="00B14C8C"/>
    <w:rsid w:val="00B1737F"/>
    <w:rsid w:val="00B32752"/>
    <w:rsid w:val="00B34F95"/>
    <w:rsid w:val="00B379D6"/>
    <w:rsid w:val="00B42C35"/>
    <w:rsid w:val="00B469C3"/>
    <w:rsid w:val="00B47583"/>
    <w:rsid w:val="00B51373"/>
    <w:rsid w:val="00B51572"/>
    <w:rsid w:val="00B71CF9"/>
    <w:rsid w:val="00B751AA"/>
    <w:rsid w:val="00B80733"/>
    <w:rsid w:val="00B864D0"/>
    <w:rsid w:val="00B97C9B"/>
    <w:rsid w:val="00BA26ED"/>
    <w:rsid w:val="00BB303C"/>
    <w:rsid w:val="00BC3808"/>
    <w:rsid w:val="00BD0C4E"/>
    <w:rsid w:val="00BD0FEF"/>
    <w:rsid w:val="00BE16D9"/>
    <w:rsid w:val="00BE2B49"/>
    <w:rsid w:val="00BE3652"/>
    <w:rsid w:val="00BF2B5A"/>
    <w:rsid w:val="00BF342A"/>
    <w:rsid w:val="00C0532D"/>
    <w:rsid w:val="00C2553E"/>
    <w:rsid w:val="00C37430"/>
    <w:rsid w:val="00C42DC7"/>
    <w:rsid w:val="00C55387"/>
    <w:rsid w:val="00C617DB"/>
    <w:rsid w:val="00C61CBE"/>
    <w:rsid w:val="00C665FF"/>
    <w:rsid w:val="00C704CD"/>
    <w:rsid w:val="00C83AF7"/>
    <w:rsid w:val="00CA138C"/>
    <w:rsid w:val="00CA652B"/>
    <w:rsid w:val="00CB6576"/>
    <w:rsid w:val="00CC637F"/>
    <w:rsid w:val="00CC7570"/>
    <w:rsid w:val="00CD0872"/>
    <w:rsid w:val="00CD6C6C"/>
    <w:rsid w:val="00CE171E"/>
    <w:rsid w:val="00CF450B"/>
    <w:rsid w:val="00CF65E9"/>
    <w:rsid w:val="00D066B4"/>
    <w:rsid w:val="00D259D6"/>
    <w:rsid w:val="00DD4D89"/>
    <w:rsid w:val="00DD6BB7"/>
    <w:rsid w:val="00DD7EEC"/>
    <w:rsid w:val="00DE106F"/>
    <w:rsid w:val="00DF4B30"/>
    <w:rsid w:val="00E06BD4"/>
    <w:rsid w:val="00E06E76"/>
    <w:rsid w:val="00E162A4"/>
    <w:rsid w:val="00E271D4"/>
    <w:rsid w:val="00E36C97"/>
    <w:rsid w:val="00E47FFD"/>
    <w:rsid w:val="00E522EC"/>
    <w:rsid w:val="00E534A2"/>
    <w:rsid w:val="00E554EE"/>
    <w:rsid w:val="00E56918"/>
    <w:rsid w:val="00E60ACE"/>
    <w:rsid w:val="00E64FBA"/>
    <w:rsid w:val="00E6704F"/>
    <w:rsid w:val="00E7450A"/>
    <w:rsid w:val="00E858B0"/>
    <w:rsid w:val="00E9513B"/>
    <w:rsid w:val="00E96FC2"/>
    <w:rsid w:val="00EB17D2"/>
    <w:rsid w:val="00EB52F9"/>
    <w:rsid w:val="00EC21E5"/>
    <w:rsid w:val="00EC7891"/>
    <w:rsid w:val="00EE1027"/>
    <w:rsid w:val="00EE11D0"/>
    <w:rsid w:val="00EE4705"/>
    <w:rsid w:val="00EE566A"/>
    <w:rsid w:val="00F00C5A"/>
    <w:rsid w:val="00F015A8"/>
    <w:rsid w:val="00F07D30"/>
    <w:rsid w:val="00F27D2E"/>
    <w:rsid w:val="00F321EF"/>
    <w:rsid w:val="00F47C91"/>
    <w:rsid w:val="00F80949"/>
    <w:rsid w:val="00F84648"/>
    <w:rsid w:val="00F874C9"/>
    <w:rsid w:val="00F90415"/>
    <w:rsid w:val="00FA5850"/>
    <w:rsid w:val="00FB0919"/>
    <w:rsid w:val="00FB54E5"/>
    <w:rsid w:val="00FC178F"/>
    <w:rsid w:val="00FD15A7"/>
    <w:rsid w:val="00FD72DE"/>
    <w:rsid w:val="00FE621E"/>
    <w:rsid w:val="00FF0FCC"/>
    <w:rsid w:val="00FF172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Calibri"/>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14D39"/>
    <w:pPr>
      <w:spacing w:after="200" w:line="276" w:lineRule="auto"/>
    </w:pPr>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BE16D9"/>
    <w:pPr>
      <w:ind w:left="720"/>
      <w:contextualSpacing/>
    </w:pPr>
  </w:style>
  <w:style w:type="paragraph" w:styleId="Caption">
    <w:name w:val="caption"/>
    <w:basedOn w:val="Normal"/>
    <w:next w:val="Normal"/>
    <w:uiPriority w:val="99"/>
    <w:qFormat/>
    <w:rsid w:val="00B864D0"/>
    <w:pPr>
      <w:spacing w:line="240" w:lineRule="auto"/>
    </w:pPr>
    <w:rPr>
      <w:b/>
      <w:bCs/>
      <w:color w:val="4F81BD"/>
      <w:sz w:val="18"/>
      <w:szCs w:val="18"/>
    </w:rPr>
  </w:style>
  <w:style w:type="table" w:styleId="TableGrid">
    <w:name w:val="Table Grid"/>
    <w:basedOn w:val="TableNormal"/>
    <w:uiPriority w:val="99"/>
    <w:rsid w:val="008774A6"/>
    <w:rPr>
      <w:rFonts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0E70A1"/>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0E70A1"/>
    <w:rPr>
      <w:rFonts w:cs="Times New Roman"/>
    </w:rPr>
  </w:style>
  <w:style w:type="paragraph" w:styleId="Footer">
    <w:name w:val="footer"/>
    <w:basedOn w:val="Normal"/>
    <w:link w:val="FooterChar"/>
    <w:uiPriority w:val="99"/>
    <w:rsid w:val="000E70A1"/>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0E70A1"/>
    <w:rPr>
      <w:rFonts w:cs="Times New Roman"/>
    </w:rPr>
  </w:style>
  <w:style w:type="paragraph" w:styleId="FootnoteText">
    <w:name w:val="footnote text"/>
    <w:basedOn w:val="Normal"/>
    <w:link w:val="FootnoteTextChar"/>
    <w:uiPriority w:val="99"/>
    <w:rsid w:val="00993C2C"/>
    <w:pPr>
      <w:spacing w:after="0" w:line="240" w:lineRule="auto"/>
    </w:pPr>
    <w:rPr>
      <w:sz w:val="20"/>
      <w:szCs w:val="20"/>
    </w:rPr>
  </w:style>
  <w:style w:type="character" w:customStyle="1" w:styleId="FootnoteTextChar">
    <w:name w:val="Footnote Text Char"/>
    <w:basedOn w:val="DefaultParagraphFont"/>
    <w:link w:val="FootnoteText"/>
    <w:uiPriority w:val="99"/>
    <w:locked/>
    <w:rsid w:val="00993C2C"/>
    <w:rPr>
      <w:rFonts w:cs="Times New Roman"/>
      <w:sz w:val="20"/>
      <w:szCs w:val="20"/>
    </w:rPr>
  </w:style>
  <w:style w:type="character" w:styleId="FootnoteReference">
    <w:name w:val="footnote reference"/>
    <w:basedOn w:val="DefaultParagraphFont"/>
    <w:uiPriority w:val="99"/>
    <w:rsid w:val="00993C2C"/>
    <w:rPr>
      <w:rFonts w:cs="Times New Roman"/>
      <w:vertAlign w:val="superscript"/>
    </w:rPr>
  </w:style>
  <w:style w:type="character" w:styleId="CommentReference">
    <w:name w:val="annotation reference"/>
    <w:basedOn w:val="DefaultParagraphFont"/>
    <w:uiPriority w:val="99"/>
    <w:semiHidden/>
    <w:unhideWhenUsed/>
    <w:rsid w:val="00FD15A7"/>
    <w:rPr>
      <w:rFonts w:cs="Times New Roman"/>
      <w:sz w:val="16"/>
      <w:szCs w:val="16"/>
    </w:rPr>
  </w:style>
  <w:style w:type="paragraph" w:styleId="CommentText">
    <w:name w:val="annotation text"/>
    <w:basedOn w:val="Normal"/>
    <w:link w:val="CommentTextChar"/>
    <w:uiPriority w:val="99"/>
    <w:semiHidden/>
    <w:unhideWhenUsed/>
    <w:rsid w:val="00FD15A7"/>
    <w:pPr>
      <w:spacing w:line="240" w:lineRule="auto"/>
    </w:pPr>
    <w:rPr>
      <w:sz w:val="20"/>
      <w:szCs w:val="20"/>
    </w:rPr>
  </w:style>
  <w:style w:type="character" w:customStyle="1" w:styleId="CommentTextChar">
    <w:name w:val="Comment Text Char"/>
    <w:basedOn w:val="DefaultParagraphFont"/>
    <w:link w:val="CommentText"/>
    <w:uiPriority w:val="99"/>
    <w:semiHidden/>
    <w:locked/>
    <w:rsid w:val="00FD15A7"/>
    <w:rPr>
      <w:rFonts w:cs="Times New Roman"/>
      <w:sz w:val="20"/>
      <w:szCs w:val="20"/>
    </w:rPr>
  </w:style>
  <w:style w:type="paragraph" w:styleId="CommentSubject">
    <w:name w:val="annotation subject"/>
    <w:basedOn w:val="CommentText"/>
    <w:next w:val="CommentText"/>
    <w:link w:val="CommentSubjectChar"/>
    <w:uiPriority w:val="99"/>
    <w:semiHidden/>
    <w:unhideWhenUsed/>
    <w:rsid w:val="00FD15A7"/>
    <w:rPr>
      <w:b/>
      <w:bCs/>
    </w:rPr>
  </w:style>
  <w:style w:type="character" w:customStyle="1" w:styleId="CommentSubjectChar">
    <w:name w:val="Comment Subject Char"/>
    <w:basedOn w:val="CommentTextChar"/>
    <w:link w:val="CommentSubject"/>
    <w:uiPriority w:val="99"/>
    <w:semiHidden/>
    <w:locked/>
    <w:rsid w:val="00FD15A7"/>
    <w:rPr>
      <w:rFonts w:cs="Times New Roman"/>
      <w:b/>
      <w:bCs/>
      <w:sz w:val="20"/>
      <w:szCs w:val="20"/>
    </w:rPr>
  </w:style>
  <w:style w:type="paragraph" w:styleId="BalloonText">
    <w:name w:val="Balloon Text"/>
    <w:basedOn w:val="Normal"/>
    <w:link w:val="BalloonTextChar"/>
    <w:uiPriority w:val="99"/>
    <w:semiHidden/>
    <w:unhideWhenUsed/>
    <w:rsid w:val="00FD15A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D15A7"/>
    <w:rPr>
      <w:rFonts w:ascii="Tahoma" w:hAnsi="Tahoma" w:cs="Tahoma"/>
      <w:sz w:val="16"/>
      <w:szCs w:val="16"/>
    </w:rPr>
  </w:style>
  <w:style w:type="paragraph" w:styleId="EndnoteText">
    <w:name w:val="endnote text"/>
    <w:basedOn w:val="Normal"/>
    <w:link w:val="EndnoteTextChar"/>
    <w:uiPriority w:val="99"/>
    <w:semiHidden/>
    <w:unhideWhenUsed/>
    <w:rsid w:val="00095567"/>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095567"/>
    <w:rPr>
      <w:rFonts w:cs="Times New Roman"/>
      <w:sz w:val="20"/>
      <w:szCs w:val="20"/>
    </w:rPr>
  </w:style>
  <w:style w:type="character" w:styleId="EndnoteReference">
    <w:name w:val="endnote reference"/>
    <w:basedOn w:val="DefaultParagraphFont"/>
    <w:uiPriority w:val="99"/>
    <w:semiHidden/>
    <w:unhideWhenUsed/>
    <w:rsid w:val="00095567"/>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9245190">
      <w:marLeft w:val="0"/>
      <w:marRight w:val="0"/>
      <w:marTop w:val="0"/>
      <w:marBottom w:val="0"/>
      <w:divBdr>
        <w:top w:val="none" w:sz="0" w:space="0" w:color="auto"/>
        <w:left w:val="none" w:sz="0" w:space="0" w:color="auto"/>
        <w:bottom w:val="none" w:sz="0" w:space="0" w:color="auto"/>
        <w:right w:val="none" w:sz="0" w:space="0" w:color="auto"/>
      </w:divBdr>
    </w:div>
    <w:div w:id="469245191">
      <w:marLeft w:val="0"/>
      <w:marRight w:val="0"/>
      <w:marTop w:val="0"/>
      <w:marBottom w:val="0"/>
      <w:divBdr>
        <w:top w:val="none" w:sz="0" w:space="0" w:color="auto"/>
        <w:left w:val="none" w:sz="0" w:space="0" w:color="auto"/>
        <w:bottom w:val="none" w:sz="0" w:space="0" w:color="auto"/>
        <w:right w:val="none" w:sz="0" w:space="0" w:color="auto"/>
      </w:divBdr>
    </w:div>
    <w:div w:id="469245192">
      <w:marLeft w:val="0"/>
      <w:marRight w:val="0"/>
      <w:marTop w:val="0"/>
      <w:marBottom w:val="0"/>
      <w:divBdr>
        <w:top w:val="none" w:sz="0" w:space="0" w:color="auto"/>
        <w:left w:val="none" w:sz="0" w:space="0" w:color="auto"/>
        <w:bottom w:val="none" w:sz="0" w:space="0" w:color="auto"/>
        <w:right w:val="none" w:sz="0" w:space="0" w:color="auto"/>
      </w:divBdr>
    </w:div>
    <w:div w:id="469245193">
      <w:marLeft w:val="0"/>
      <w:marRight w:val="0"/>
      <w:marTop w:val="0"/>
      <w:marBottom w:val="0"/>
      <w:divBdr>
        <w:top w:val="none" w:sz="0" w:space="0" w:color="auto"/>
        <w:left w:val="none" w:sz="0" w:space="0" w:color="auto"/>
        <w:bottom w:val="none" w:sz="0" w:space="0" w:color="auto"/>
        <w:right w:val="none" w:sz="0" w:space="0" w:color="auto"/>
      </w:divBdr>
    </w:div>
    <w:div w:id="469245194">
      <w:marLeft w:val="0"/>
      <w:marRight w:val="0"/>
      <w:marTop w:val="0"/>
      <w:marBottom w:val="0"/>
      <w:divBdr>
        <w:top w:val="none" w:sz="0" w:space="0" w:color="auto"/>
        <w:left w:val="none" w:sz="0" w:space="0" w:color="auto"/>
        <w:bottom w:val="none" w:sz="0" w:space="0" w:color="auto"/>
        <w:right w:val="none" w:sz="0" w:space="0" w:color="auto"/>
      </w:divBdr>
    </w:div>
    <w:div w:id="469245195">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Excel_Worksheet2.xlsx"/><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package" Target="embeddings/Microsoft_Excel_Worksheet1.xlsx"/><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EEE4CD-208C-4B43-AF42-A66DCF8748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3020</Words>
  <Characters>17215</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20195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Kevin Madison</cp:lastModifiedBy>
  <cp:revision>2</cp:revision>
  <cp:lastPrinted>2012-05-14T19:29:00Z</cp:lastPrinted>
  <dcterms:created xsi:type="dcterms:W3CDTF">2013-05-02T22:27:00Z</dcterms:created>
  <dcterms:modified xsi:type="dcterms:W3CDTF">2013-05-02T22:27:00Z</dcterms:modified>
</cp:coreProperties>
</file>