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D0872" w:rsidRDefault="00CD0872" w:rsidP="00840E35">
      <w:pPr>
        <w:spacing w:after="0" w:line="240" w:lineRule="auto"/>
        <w:rPr>
          <w:b/>
          <w:sz w:val="24"/>
          <w:szCs w:val="24"/>
        </w:rPr>
      </w:pPr>
      <w:bookmarkStart w:id="0" w:name="_GoBack"/>
      <w:bookmarkEnd w:id="0"/>
      <w:r>
        <w:rPr>
          <w:b/>
          <w:sz w:val="24"/>
          <w:szCs w:val="24"/>
        </w:rPr>
        <w:t>WORKPAPER DISPOSITION FOR</w:t>
      </w:r>
    </w:p>
    <w:p w:rsidR="00CD0872" w:rsidRDefault="00B51373" w:rsidP="00840E35">
      <w:pPr>
        <w:spacing w:after="0" w:line="240" w:lineRule="auto"/>
        <w:rPr>
          <w:b/>
          <w:sz w:val="24"/>
          <w:szCs w:val="24"/>
        </w:rPr>
      </w:pPr>
      <w:r>
        <w:rPr>
          <w:b/>
          <w:sz w:val="24"/>
          <w:szCs w:val="24"/>
        </w:rPr>
        <w:t>Non-Residential HVAC Rooftop Quality Maintenance</w:t>
      </w:r>
    </w:p>
    <w:p w:rsidR="00CD0872" w:rsidRDefault="00CD0872" w:rsidP="00840E35">
      <w:pPr>
        <w:spacing w:after="0" w:line="240" w:lineRule="auto"/>
        <w:rPr>
          <w:b/>
          <w:sz w:val="24"/>
          <w:szCs w:val="24"/>
        </w:rPr>
      </w:pPr>
      <w:r>
        <w:rPr>
          <w:b/>
          <w:sz w:val="24"/>
          <w:szCs w:val="24"/>
        </w:rPr>
        <w:t>California Public Utilities Commission, Energy Division</w:t>
      </w:r>
    </w:p>
    <w:p w:rsidR="00CD0872" w:rsidRPr="008C7F61" w:rsidRDefault="00B70B49">
      <w:pPr>
        <w:rPr>
          <w:sz w:val="24"/>
          <w:szCs w:val="24"/>
        </w:rPr>
      </w:pPr>
      <w:r>
        <w:rPr>
          <w:sz w:val="24"/>
          <w:szCs w:val="24"/>
        </w:rPr>
        <w:t>May 2</w:t>
      </w:r>
      <w:r w:rsidR="00B51373">
        <w:rPr>
          <w:sz w:val="24"/>
          <w:szCs w:val="24"/>
        </w:rPr>
        <w:t>, 2013</w:t>
      </w:r>
    </w:p>
    <w:p w:rsidR="00CD0872" w:rsidRPr="00E534A2" w:rsidRDefault="00CD0872" w:rsidP="00FB54E5">
      <w:r>
        <w:t xml:space="preserve">Refer to </w:t>
      </w:r>
      <w:r>
        <w:fldChar w:fldCharType="begin"/>
      </w:r>
      <w:r>
        <w:instrText xml:space="preserve"> REF _Ref324175084 \h </w:instrText>
      </w:r>
      <w:r>
        <w:fldChar w:fldCharType="separate"/>
      </w:r>
      <w:r w:rsidR="00C55387" w:rsidRPr="00E534A2">
        <w:t xml:space="preserve">Table </w:t>
      </w:r>
      <w:r w:rsidR="00C55387">
        <w:rPr>
          <w:noProof/>
        </w:rPr>
        <w:t>1</w:t>
      </w:r>
      <w:r>
        <w:fldChar w:fldCharType="end"/>
      </w:r>
      <w:r>
        <w:t xml:space="preserve"> for a list of currently submitted IOU workpapers that cover </w:t>
      </w:r>
      <w:r w:rsidR="00B51373">
        <w:t>Non-Residential HVAC Rooftop Quality Maintenance</w:t>
      </w:r>
      <w:r w:rsidR="00B128E8">
        <w:t xml:space="preserve"> </w:t>
      </w:r>
      <w:r w:rsidR="00B815A4">
        <w:t xml:space="preserve">(QM) </w:t>
      </w:r>
      <w:r w:rsidR="00B128E8">
        <w:t>as part of statewide programs</w:t>
      </w:r>
      <w:r>
        <w:t>.</w:t>
      </w:r>
      <w:r w:rsidR="000F6A82">
        <w:t xml:space="preserve">  </w:t>
      </w:r>
      <w:fldSimple w:instr=" REF _Ref347390768 ">
        <w:r w:rsidR="000745B5" w:rsidRPr="00A14E41">
          <w:t xml:space="preserve">Table </w:t>
        </w:r>
        <w:r w:rsidR="000745B5">
          <w:rPr>
            <w:noProof/>
          </w:rPr>
          <w:t>2</w:t>
        </w:r>
      </w:fldSimple>
      <w:r w:rsidR="000745B5">
        <w:t xml:space="preserve"> provides a comprehensive list of workpapers that cover all commercial HVAC maintenance measures. Many of the workpapers in </w:t>
      </w:r>
      <w:fldSimple w:instr=" REF _Ref347390768 ">
        <w:r w:rsidR="000745B5" w:rsidRPr="00A14E41">
          <w:t xml:space="preserve">Table </w:t>
        </w:r>
        <w:r w:rsidR="000745B5">
          <w:rPr>
            <w:noProof/>
          </w:rPr>
          <w:t>2</w:t>
        </w:r>
      </w:fldSimple>
      <w:r w:rsidR="000745B5">
        <w:t xml:space="preserve"> cover individual measures that are also part of the suite of treatments included in the QM workpapers listed in </w:t>
      </w:r>
      <w:fldSimple w:instr=" REF _Ref324175084 ">
        <w:r w:rsidR="000745B5" w:rsidRPr="00E534A2">
          <w:t xml:space="preserve">Table </w:t>
        </w:r>
        <w:r w:rsidR="000745B5">
          <w:rPr>
            <w:noProof/>
          </w:rPr>
          <w:t>1</w:t>
        </w:r>
      </w:fldSimple>
      <w:r w:rsidR="000745B5">
        <w:t xml:space="preserve">. </w:t>
      </w:r>
      <w:r w:rsidR="000F6A82">
        <w:t>All are covered in this disposition.</w:t>
      </w:r>
    </w:p>
    <w:p w:rsidR="00CD0872" w:rsidRPr="00E534A2" w:rsidRDefault="00CD0872" w:rsidP="00CE171E">
      <w:pPr>
        <w:pStyle w:val="Caption"/>
        <w:keepNext/>
        <w:rPr>
          <w:sz w:val="22"/>
          <w:szCs w:val="22"/>
        </w:rPr>
      </w:pPr>
      <w:bookmarkStart w:id="1" w:name="_Ref324175084"/>
      <w:r w:rsidRPr="00E534A2">
        <w:rPr>
          <w:sz w:val="22"/>
          <w:szCs w:val="22"/>
        </w:rPr>
        <w:t xml:space="preserve">Table </w:t>
      </w:r>
      <w:r>
        <w:rPr>
          <w:sz w:val="22"/>
          <w:szCs w:val="22"/>
        </w:rPr>
        <w:fldChar w:fldCharType="begin"/>
      </w:r>
      <w:r>
        <w:rPr>
          <w:sz w:val="22"/>
          <w:szCs w:val="22"/>
        </w:rPr>
        <w:instrText xml:space="preserve"> SEQ Table \* ARABIC </w:instrText>
      </w:r>
      <w:r>
        <w:rPr>
          <w:sz w:val="22"/>
          <w:szCs w:val="22"/>
        </w:rPr>
        <w:fldChar w:fldCharType="separate"/>
      </w:r>
      <w:r w:rsidR="00C55387">
        <w:rPr>
          <w:noProof/>
          <w:sz w:val="22"/>
          <w:szCs w:val="22"/>
        </w:rPr>
        <w:t>1</w:t>
      </w:r>
      <w:r>
        <w:rPr>
          <w:sz w:val="22"/>
          <w:szCs w:val="22"/>
        </w:rPr>
        <w:fldChar w:fldCharType="end"/>
      </w:r>
      <w:bookmarkEnd w:id="1"/>
      <w:r w:rsidRPr="00E534A2">
        <w:rPr>
          <w:sz w:val="22"/>
          <w:szCs w:val="22"/>
        </w:rPr>
        <w:t xml:space="preserve"> - </w:t>
      </w:r>
      <w:r w:rsidR="00B51373">
        <w:rPr>
          <w:sz w:val="22"/>
          <w:szCs w:val="22"/>
        </w:rPr>
        <w:t xml:space="preserve">Non-Residential HVAC Quality Maintenance </w:t>
      </w:r>
      <w:r w:rsidR="00CA4165">
        <w:rPr>
          <w:sz w:val="22"/>
          <w:szCs w:val="22"/>
        </w:rPr>
        <w:t>Workpapers</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70"/>
        <w:gridCol w:w="5462"/>
        <w:gridCol w:w="1784"/>
      </w:tblGrid>
      <w:tr w:rsidR="00CD0872" w:rsidRPr="008E6B1C" w:rsidTr="00B128E8">
        <w:tc>
          <w:tcPr>
            <w:tcW w:w="1970" w:type="dxa"/>
          </w:tcPr>
          <w:p w:rsidR="00CD0872" w:rsidRPr="008E6B1C" w:rsidRDefault="00CD0872" w:rsidP="008E6B1C">
            <w:pPr>
              <w:keepNext/>
              <w:spacing w:after="0" w:line="240" w:lineRule="auto"/>
              <w:rPr>
                <w:b/>
              </w:rPr>
            </w:pPr>
            <w:r w:rsidRPr="008E6B1C">
              <w:rPr>
                <w:b/>
              </w:rPr>
              <w:t>Workpaper ID</w:t>
            </w:r>
          </w:p>
        </w:tc>
        <w:tc>
          <w:tcPr>
            <w:tcW w:w="5462" w:type="dxa"/>
          </w:tcPr>
          <w:p w:rsidR="00CD0872" w:rsidRPr="008E6B1C" w:rsidRDefault="00CD0872" w:rsidP="008E6B1C">
            <w:pPr>
              <w:keepNext/>
              <w:spacing w:after="0" w:line="240" w:lineRule="auto"/>
              <w:rPr>
                <w:b/>
              </w:rPr>
            </w:pPr>
            <w:r w:rsidRPr="008E6B1C">
              <w:rPr>
                <w:b/>
              </w:rPr>
              <w:t>Workpaper Title</w:t>
            </w:r>
          </w:p>
        </w:tc>
        <w:tc>
          <w:tcPr>
            <w:tcW w:w="1784" w:type="dxa"/>
          </w:tcPr>
          <w:p w:rsidR="00CD0872" w:rsidRPr="008E6B1C" w:rsidRDefault="00CD0872" w:rsidP="008E6B1C">
            <w:pPr>
              <w:keepNext/>
              <w:spacing w:after="0" w:line="240" w:lineRule="auto"/>
              <w:rPr>
                <w:b/>
              </w:rPr>
            </w:pPr>
            <w:r w:rsidRPr="008E6B1C">
              <w:rPr>
                <w:b/>
              </w:rPr>
              <w:t>Date Submitted</w:t>
            </w:r>
          </w:p>
        </w:tc>
      </w:tr>
      <w:tr w:rsidR="00CD0872" w:rsidRPr="008E6B1C" w:rsidTr="00B128E8">
        <w:tc>
          <w:tcPr>
            <w:tcW w:w="1970" w:type="dxa"/>
            <w:tcBorders>
              <w:right w:val="nil"/>
            </w:tcBorders>
            <w:shd w:val="pct25" w:color="auto" w:fill="auto"/>
          </w:tcPr>
          <w:p w:rsidR="00CD0872" w:rsidRPr="008E6B1C" w:rsidRDefault="00CD0872" w:rsidP="008E6B1C">
            <w:pPr>
              <w:keepNext/>
              <w:spacing w:after="0" w:line="240" w:lineRule="auto"/>
              <w:rPr>
                <w:b/>
              </w:rPr>
            </w:pPr>
            <w:r w:rsidRPr="008E6B1C">
              <w:rPr>
                <w:b/>
              </w:rPr>
              <w:t>SDG&amp;E</w:t>
            </w:r>
          </w:p>
        </w:tc>
        <w:tc>
          <w:tcPr>
            <w:tcW w:w="5462" w:type="dxa"/>
            <w:tcBorders>
              <w:left w:val="nil"/>
              <w:right w:val="nil"/>
            </w:tcBorders>
            <w:shd w:val="pct25" w:color="auto" w:fill="auto"/>
          </w:tcPr>
          <w:p w:rsidR="00CD0872" w:rsidRPr="008E6B1C" w:rsidRDefault="00CD0872" w:rsidP="008E6B1C">
            <w:pPr>
              <w:keepNext/>
              <w:spacing w:after="0" w:line="240" w:lineRule="auto"/>
            </w:pPr>
          </w:p>
        </w:tc>
        <w:tc>
          <w:tcPr>
            <w:tcW w:w="1784" w:type="dxa"/>
            <w:tcBorders>
              <w:left w:val="nil"/>
            </w:tcBorders>
            <w:shd w:val="pct25" w:color="auto" w:fill="auto"/>
          </w:tcPr>
          <w:p w:rsidR="00CD0872" w:rsidRPr="008E6B1C" w:rsidRDefault="00CD0872" w:rsidP="008E6B1C">
            <w:pPr>
              <w:keepNext/>
              <w:spacing w:after="0" w:line="240" w:lineRule="auto"/>
              <w:jc w:val="right"/>
            </w:pPr>
          </w:p>
        </w:tc>
      </w:tr>
      <w:tr w:rsidR="00497640" w:rsidRPr="008E6B1C" w:rsidTr="00B128E8">
        <w:tc>
          <w:tcPr>
            <w:tcW w:w="1970" w:type="dxa"/>
          </w:tcPr>
          <w:p w:rsidR="00497640" w:rsidRPr="001E3388" w:rsidRDefault="00345D2D" w:rsidP="008E6B1C">
            <w:pPr>
              <w:spacing w:after="0" w:line="240" w:lineRule="auto"/>
            </w:pPr>
            <w:r>
              <w:t>n/a</w:t>
            </w:r>
          </w:p>
        </w:tc>
        <w:tc>
          <w:tcPr>
            <w:tcW w:w="5462" w:type="dxa"/>
          </w:tcPr>
          <w:p w:rsidR="00497640" w:rsidRPr="00E6704F" w:rsidRDefault="00497640" w:rsidP="004569E9">
            <w:pPr>
              <w:spacing w:after="0" w:line="240" w:lineRule="auto"/>
            </w:pPr>
          </w:p>
        </w:tc>
        <w:tc>
          <w:tcPr>
            <w:tcW w:w="1784" w:type="dxa"/>
          </w:tcPr>
          <w:p w:rsidR="00497640" w:rsidRDefault="00497640" w:rsidP="00F61237">
            <w:pPr>
              <w:spacing w:after="0" w:line="240" w:lineRule="auto"/>
              <w:jc w:val="right"/>
            </w:pPr>
          </w:p>
        </w:tc>
      </w:tr>
      <w:tr w:rsidR="00497640" w:rsidRPr="008E6B1C" w:rsidTr="00310364">
        <w:tc>
          <w:tcPr>
            <w:tcW w:w="1970" w:type="dxa"/>
            <w:tcBorders>
              <w:right w:val="nil"/>
            </w:tcBorders>
            <w:shd w:val="clear" w:color="auto" w:fill="BFBFBF"/>
          </w:tcPr>
          <w:p w:rsidR="00497640" w:rsidRPr="001E3388" w:rsidRDefault="00497640" w:rsidP="00F61237">
            <w:pPr>
              <w:spacing w:after="0" w:line="240" w:lineRule="auto"/>
            </w:pPr>
            <w:r w:rsidRPr="008E6B1C">
              <w:rPr>
                <w:b/>
              </w:rPr>
              <w:t>SCE</w:t>
            </w:r>
          </w:p>
        </w:tc>
        <w:tc>
          <w:tcPr>
            <w:tcW w:w="5462" w:type="dxa"/>
            <w:tcBorders>
              <w:left w:val="nil"/>
              <w:right w:val="nil"/>
            </w:tcBorders>
            <w:shd w:val="clear" w:color="auto" w:fill="BFBFBF"/>
          </w:tcPr>
          <w:p w:rsidR="00497640" w:rsidRPr="00E6704F" w:rsidRDefault="00497640" w:rsidP="004569E9">
            <w:pPr>
              <w:spacing w:after="0" w:line="240" w:lineRule="auto"/>
            </w:pPr>
          </w:p>
        </w:tc>
        <w:tc>
          <w:tcPr>
            <w:tcW w:w="1784" w:type="dxa"/>
            <w:tcBorders>
              <w:left w:val="nil"/>
            </w:tcBorders>
            <w:shd w:val="clear" w:color="auto" w:fill="BFBFBF"/>
          </w:tcPr>
          <w:p w:rsidR="00497640" w:rsidRDefault="00497640" w:rsidP="004569E9">
            <w:pPr>
              <w:spacing w:after="0" w:line="240" w:lineRule="auto"/>
              <w:jc w:val="right"/>
            </w:pPr>
          </w:p>
        </w:tc>
      </w:tr>
      <w:tr w:rsidR="00497640" w:rsidRPr="008E6B1C" w:rsidTr="00310364">
        <w:tc>
          <w:tcPr>
            <w:tcW w:w="1970" w:type="dxa"/>
          </w:tcPr>
          <w:p w:rsidR="00497640" w:rsidRPr="008E6B1C" w:rsidRDefault="00497640" w:rsidP="008E6B1C">
            <w:pPr>
              <w:keepNext/>
              <w:spacing w:after="0" w:line="240" w:lineRule="auto"/>
              <w:rPr>
                <w:b/>
              </w:rPr>
            </w:pPr>
            <w:r w:rsidRPr="00B51373">
              <w:t>SCE13HC037</w:t>
            </w:r>
          </w:p>
        </w:tc>
        <w:tc>
          <w:tcPr>
            <w:tcW w:w="5462" w:type="dxa"/>
          </w:tcPr>
          <w:p w:rsidR="00497640" w:rsidRPr="008E6B1C" w:rsidRDefault="00497640" w:rsidP="008E6B1C">
            <w:pPr>
              <w:keepNext/>
              <w:spacing w:after="0" w:line="240" w:lineRule="auto"/>
            </w:pPr>
            <w:r w:rsidRPr="00B51373">
              <w:t>Comprehensive Commercial</w:t>
            </w:r>
            <w:r>
              <w:t xml:space="preserve"> </w:t>
            </w:r>
            <w:r w:rsidRPr="00B51373">
              <w:t>HVAC Rooftop Unit Quality</w:t>
            </w:r>
            <w:r>
              <w:t xml:space="preserve"> </w:t>
            </w:r>
            <w:r w:rsidRPr="00B51373">
              <w:t>Maintenance</w:t>
            </w:r>
          </w:p>
        </w:tc>
        <w:tc>
          <w:tcPr>
            <w:tcW w:w="1784" w:type="dxa"/>
          </w:tcPr>
          <w:p w:rsidR="00497640" w:rsidRPr="008E6B1C" w:rsidRDefault="00497640" w:rsidP="00497640">
            <w:pPr>
              <w:keepNext/>
              <w:spacing w:after="0" w:line="240" w:lineRule="auto"/>
              <w:jc w:val="right"/>
            </w:pPr>
            <w:r>
              <w:t>5/9/20</w:t>
            </w:r>
            <w:r w:rsidRPr="00B51373">
              <w:t>12</w:t>
            </w:r>
          </w:p>
        </w:tc>
      </w:tr>
      <w:tr w:rsidR="00497640" w:rsidRPr="008E6B1C" w:rsidTr="00310364">
        <w:tc>
          <w:tcPr>
            <w:tcW w:w="1970" w:type="dxa"/>
            <w:tcBorders>
              <w:right w:val="nil"/>
            </w:tcBorders>
            <w:shd w:val="pct25" w:color="auto" w:fill="auto"/>
          </w:tcPr>
          <w:p w:rsidR="00497640" w:rsidRPr="008E6B1C" w:rsidRDefault="00497640" w:rsidP="008E6B1C">
            <w:pPr>
              <w:keepNext/>
              <w:spacing w:after="0" w:line="240" w:lineRule="auto"/>
            </w:pPr>
            <w:r w:rsidRPr="008E6B1C">
              <w:rPr>
                <w:b/>
              </w:rPr>
              <w:t>PG&amp;E</w:t>
            </w:r>
          </w:p>
        </w:tc>
        <w:tc>
          <w:tcPr>
            <w:tcW w:w="5462" w:type="dxa"/>
            <w:tcBorders>
              <w:left w:val="nil"/>
              <w:right w:val="nil"/>
            </w:tcBorders>
            <w:shd w:val="pct25" w:color="auto" w:fill="auto"/>
          </w:tcPr>
          <w:p w:rsidR="00497640" w:rsidRPr="008E6B1C" w:rsidRDefault="00497640" w:rsidP="008E6B1C">
            <w:pPr>
              <w:keepNext/>
              <w:spacing w:after="0" w:line="240" w:lineRule="auto"/>
            </w:pPr>
          </w:p>
        </w:tc>
        <w:tc>
          <w:tcPr>
            <w:tcW w:w="1784" w:type="dxa"/>
            <w:tcBorders>
              <w:left w:val="nil"/>
            </w:tcBorders>
            <w:shd w:val="pct25" w:color="auto" w:fill="auto"/>
          </w:tcPr>
          <w:p w:rsidR="00497640" w:rsidRPr="008E6B1C" w:rsidRDefault="00497640" w:rsidP="008E6B1C">
            <w:pPr>
              <w:keepNext/>
              <w:spacing w:after="0" w:line="240" w:lineRule="auto"/>
              <w:jc w:val="right"/>
            </w:pPr>
          </w:p>
        </w:tc>
      </w:tr>
      <w:tr w:rsidR="00497640" w:rsidRPr="008E6B1C" w:rsidTr="00310364">
        <w:tc>
          <w:tcPr>
            <w:tcW w:w="1970" w:type="dxa"/>
          </w:tcPr>
          <w:p w:rsidR="00497640" w:rsidRPr="008E6B1C" w:rsidRDefault="00497640" w:rsidP="008E6B1C">
            <w:pPr>
              <w:keepNext/>
              <w:spacing w:after="0" w:line="240" w:lineRule="auto"/>
              <w:rPr>
                <w:b/>
              </w:rPr>
            </w:pPr>
            <w:r w:rsidRPr="00B51373">
              <w:t>PGECOHVC138</w:t>
            </w:r>
          </w:p>
        </w:tc>
        <w:tc>
          <w:tcPr>
            <w:tcW w:w="5462" w:type="dxa"/>
          </w:tcPr>
          <w:p w:rsidR="00497640" w:rsidRPr="008E6B1C" w:rsidRDefault="00497640" w:rsidP="008E6B1C">
            <w:pPr>
              <w:keepNext/>
              <w:spacing w:after="0" w:line="240" w:lineRule="auto"/>
            </w:pPr>
            <w:r w:rsidRPr="00E6704F">
              <w:t>Non</w:t>
            </w:r>
            <w:r>
              <w:t>-R</w:t>
            </w:r>
            <w:r w:rsidRPr="00E6704F">
              <w:t>esidential HVAC RTU</w:t>
            </w:r>
            <w:r>
              <w:t xml:space="preserve"> </w:t>
            </w:r>
            <w:r w:rsidRPr="00E6704F">
              <w:t>Quality Maintenance</w:t>
            </w:r>
          </w:p>
        </w:tc>
        <w:tc>
          <w:tcPr>
            <w:tcW w:w="1784" w:type="dxa"/>
          </w:tcPr>
          <w:p w:rsidR="00497640" w:rsidRPr="008E6B1C" w:rsidRDefault="00497640" w:rsidP="008E6B1C">
            <w:pPr>
              <w:keepNext/>
              <w:spacing w:after="0" w:line="240" w:lineRule="auto"/>
              <w:jc w:val="right"/>
            </w:pPr>
            <w:r>
              <w:t>8</w:t>
            </w:r>
            <w:r w:rsidRPr="008E6B1C">
              <w:t>/</w:t>
            </w:r>
            <w:r>
              <w:t>26</w:t>
            </w:r>
            <w:r w:rsidRPr="008E6B1C">
              <w:t>/201</w:t>
            </w:r>
            <w:r>
              <w:t>2</w:t>
            </w:r>
          </w:p>
        </w:tc>
      </w:tr>
    </w:tbl>
    <w:p w:rsidR="00CD0872" w:rsidRPr="008774A6" w:rsidRDefault="00CD0872" w:rsidP="00CE171E">
      <w:pPr>
        <w:ind w:left="360" w:hanging="360"/>
      </w:pPr>
    </w:p>
    <w:p w:rsidR="000D04A0" w:rsidRDefault="00CD0872" w:rsidP="00A14E41">
      <w:pPr>
        <w:keepNext/>
      </w:pPr>
      <w:r>
        <w:rPr>
          <w:b/>
          <w:u w:val="single"/>
        </w:rPr>
        <w:t>Workpaper Disposit</w:t>
      </w:r>
      <w:r w:rsidR="00B815A4">
        <w:rPr>
          <w:b/>
          <w:u w:val="single"/>
        </w:rPr>
        <w:t>i</w:t>
      </w:r>
      <w:r>
        <w:rPr>
          <w:b/>
          <w:u w:val="single"/>
        </w:rPr>
        <w:t>on:</w:t>
      </w:r>
      <w:r>
        <w:t xml:space="preserve"> Approved </w:t>
      </w:r>
      <w:r w:rsidR="00082CA9">
        <w:t xml:space="preserve">Pending the Following </w:t>
      </w:r>
      <w:r>
        <w:t>Revisions</w:t>
      </w:r>
    </w:p>
    <w:p w:rsidR="00262028" w:rsidRDefault="00262028" w:rsidP="00262028">
      <w:pPr>
        <w:pStyle w:val="ListParagraph"/>
        <w:numPr>
          <w:ilvl w:val="0"/>
          <w:numId w:val="3"/>
        </w:numPr>
        <w:contextualSpacing w:val="0"/>
      </w:pPr>
      <w:r w:rsidRPr="00262028">
        <w:rPr>
          <w:u w:val="single"/>
        </w:rPr>
        <w:t>Revise Ex</w:t>
      </w:r>
      <w:r w:rsidR="00B815A4">
        <w:rPr>
          <w:u w:val="single"/>
        </w:rPr>
        <w:t xml:space="preserve"> </w:t>
      </w:r>
      <w:r w:rsidRPr="00262028">
        <w:rPr>
          <w:u w:val="single"/>
        </w:rPr>
        <w:t>Ante Claims Process</w:t>
      </w:r>
      <w:r>
        <w:t xml:space="preserve">:  </w:t>
      </w:r>
      <w:r w:rsidR="002866CE">
        <w:t xml:space="preserve">Commission staff prefers that </w:t>
      </w:r>
      <w:r w:rsidR="00B815A4">
        <w:t>e</w:t>
      </w:r>
      <w:r w:rsidR="002866CE">
        <w:t>x</w:t>
      </w:r>
      <w:r w:rsidR="00B815A4">
        <w:t xml:space="preserve"> a</w:t>
      </w:r>
      <w:r w:rsidR="002866CE">
        <w:t xml:space="preserve">nte claims be based on the actual service tasks completed as part of the QM process.  Claim categories and savings should match those currently used to provide compensation to service providers.  This disposition has developed treatment-based </w:t>
      </w:r>
      <w:r w:rsidR="00B815A4">
        <w:t>unit energy savings (</w:t>
      </w:r>
      <w:r w:rsidR="002866CE">
        <w:t>UES</w:t>
      </w:r>
      <w:r w:rsidR="00B815A4">
        <w:t>)</w:t>
      </w:r>
      <w:r w:rsidR="002866CE">
        <w:t xml:space="preserve"> and Installation Rate (IR) values to meet that desired goal.  IOUs have claimed that this poses an unacceptable problem.  As such, treatment-based UES and IR values have been re-combined to provide single, mechanical system-based sets of values.  As much as possible, claims categories match those in the original work papers. </w:t>
      </w:r>
      <w:r w:rsidR="00345D2D">
        <w:t xml:space="preserve"> </w:t>
      </w:r>
    </w:p>
    <w:p w:rsidR="004569E9" w:rsidRDefault="00345D2D" w:rsidP="004569E9">
      <w:pPr>
        <w:ind w:left="720"/>
      </w:pPr>
      <w:r>
        <w:t xml:space="preserve">ED prefers that </w:t>
      </w:r>
      <w:r w:rsidR="008704A4">
        <w:t>e</w:t>
      </w:r>
      <w:r w:rsidR="00E554EE">
        <w:t>x</w:t>
      </w:r>
      <w:r w:rsidR="008704A4">
        <w:t xml:space="preserve"> </w:t>
      </w:r>
      <w:r w:rsidR="00E554EE">
        <w:t xml:space="preserve">ante </w:t>
      </w:r>
      <w:r>
        <w:t>c</w:t>
      </w:r>
      <w:r w:rsidR="002866CE">
        <w:t>l</w:t>
      </w:r>
      <w:r>
        <w:t>aims</w:t>
      </w:r>
      <w:r w:rsidR="00E554EE">
        <w:t xml:space="preserve"> are to be based upon the service provider incentive structure in three broad categories as outlined in </w:t>
      </w:r>
      <w:r w:rsidR="00E554EE">
        <w:fldChar w:fldCharType="begin"/>
      </w:r>
      <w:r w:rsidR="00E554EE">
        <w:instrText xml:space="preserve"> REF _Ref347390768 \h </w:instrText>
      </w:r>
      <w:r w:rsidR="00E554EE">
        <w:fldChar w:fldCharType="separate"/>
      </w:r>
      <w:r w:rsidR="00E554EE" w:rsidRPr="00A14E41">
        <w:t xml:space="preserve">Table </w:t>
      </w:r>
      <w:r w:rsidR="00E554EE">
        <w:rPr>
          <w:noProof/>
        </w:rPr>
        <w:t>2</w:t>
      </w:r>
      <w:r w:rsidR="00E554EE">
        <w:fldChar w:fldCharType="end"/>
      </w:r>
      <w:r w:rsidR="00E554EE">
        <w:t>.</w:t>
      </w:r>
      <w:r w:rsidR="00FA5850">
        <w:t xml:space="preserve">  Note that a specific Service Incentive does not necessarily correspond directly to a</w:t>
      </w:r>
      <w:r w:rsidR="00A259A3">
        <w:t>ll</w:t>
      </w:r>
      <w:r w:rsidR="00FA5850">
        <w:t xml:space="preserve"> Related Workpaper</w:t>
      </w:r>
      <w:r w:rsidR="00A259A3">
        <w:t>s</w:t>
      </w:r>
      <w:r w:rsidR="00FA5850">
        <w:t xml:space="preserve"> in the adjacent column.  </w:t>
      </w:r>
      <w:r>
        <w:t>This table addresses both the statewide program and local and 3</w:t>
      </w:r>
      <w:r w:rsidRPr="00345D2D">
        <w:rPr>
          <w:vertAlign w:val="superscript"/>
        </w:rPr>
        <w:t>rd</w:t>
      </w:r>
      <w:r>
        <w:t xml:space="preserve"> party programs.  The treatment-based values in this disposition have been applied to both the statewide and local programs</w:t>
      </w:r>
      <w:r w:rsidR="00FA5850">
        <w:t>.</w:t>
      </w:r>
      <w:r>
        <w:t xml:space="preserve">  The final disposition value</w:t>
      </w:r>
      <w:r w:rsidR="00627EC2">
        <w:t>s</w:t>
      </w:r>
      <w:r>
        <w:t xml:space="preserve"> provided here apply only to the statewide program with a </w:t>
      </w:r>
      <w:r w:rsidR="00627EC2">
        <w:t>treatment-based</w:t>
      </w:r>
      <w:r>
        <w:t xml:space="preserve"> disposition applied to the local programs.</w:t>
      </w:r>
    </w:p>
    <w:p w:rsidR="00E554EE" w:rsidRDefault="00E554EE" w:rsidP="002866CE">
      <w:pPr>
        <w:pStyle w:val="Caption"/>
        <w:keepNext/>
      </w:pPr>
      <w:bookmarkStart w:id="2" w:name="_Ref347390768"/>
      <w:r w:rsidRPr="00A14E41">
        <w:rPr>
          <w:sz w:val="22"/>
          <w:szCs w:val="22"/>
        </w:rPr>
        <w:lastRenderedPageBreak/>
        <w:t xml:space="preserve">Table </w:t>
      </w:r>
      <w:r w:rsidRPr="00A14E41">
        <w:rPr>
          <w:sz w:val="22"/>
          <w:szCs w:val="22"/>
        </w:rPr>
        <w:fldChar w:fldCharType="begin"/>
      </w:r>
      <w:r w:rsidRPr="00A14E41">
        <w:rPr>
          <w:sz w:val="22"/>
          <w:szCs w:val="22"/>
        </w:rPr>
        <w:instrText xml:space="preserve"> SEQ Table \* ARABIC </w:instrText>
      </w:r>
      <w:r w:rsidRPr="00A14E41">
        <w:rPr>
          <w:sz w:val="22"/>
          <w:szCs w:val="22"/>
        </w:rPr>
        <w:fldChar w:fldCharType="separate"/>
      </w:r>
      <w:r>
        <w:rPr>
          <w:noProof/>
          <w:sz w:val="22"/>
          <w:szCs w:val="22"/>
        </w:rPr>
        <w:t>2</w:t>
      </w:r>
      <w:r w:rsidRPr="00A14E41">
        <w:rPr>
          <w:sz w:val="22"/>
          <w:szCs w:val="22"/>
        </w:rPr>
        <w:fldChar w:fldCharType="end"/>
      </w:r>
      <w:bookmarkEnd w:id="2"/>
      <w:r w:rsidRPr="00A14E41">
        <w:rPr>
          <w:sz w:val="22"/>
          <w:szCs w:val="22"/>
        </w:rPr>
        <w:t xml:space="preserve"> </w:t>
      </w:r>
      <w:r>
        <w:rPr>
          <w:sz w:val="22"/>
          <w:szCs w:val="22"/>
        </w:rPr>
        <w:t>–</w:t>
      </w:r>
      <w:r w:rsidRPr="00A14E41">
        <w:rPr>
          <w:sz w:val="22"/>
          <w:szCs w:val="22"/>
        </w:rPr>
        <w:t xml:space="preserve"> </w:t>
      </w:r>
      <w:r w:rsidR="00A1122F">
        <w:rPr>
          <w:sz w:val="22"/>
          <w:szCs w:val="22"/>
        </w:rPr>
        <w:t>Workpaper Listing by Measure Category</w:t>
      </w:r>
    </w:p>
    <w:tbl>
      <w:tblPr>
        <w:tblW w:w="8476" w:type="dxa"/>
        <w:jc w:val="center"/>
        <w:tblLook w:val="04A0" w:firstRow="1" w:lastRow="0" w:firstColumn="1" w:lastColumn="0" w:noHBand="0" w:noVBand="1"/>
      </w:tblPr>
      <w:tblGrid>
        <w:gridCol w:w="2168"/>
        <w:gridCol w:w="4338"/>
        <w:gridCol w:w="1970"/>
      </w:tblGrid>
      <w:tr w:rsidR="00FA5850" w:rsidRPr="00FA5850" w:rsidTr="00B12430">
        <w:trPr>
          <w:trHeight w:val="585"/>
          <w:jc w:val="center"/>
        </w:trPr>
        <w:tc>
          <w:tcPr>
            <w:tcW w:w="216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bottom"/>
            <w:hideMark/>
          </w:tcPr>
          <w:p w:rsidR="00FA5850" w:rsidRPr="00FA5850" w:rsidRDefault="00FA5850" w:rsidP="002866CE">
            <w:pPr>
              <w:keepNext/>
              <w:spacing w:after="0" w:line="240" w:lineRule="auto"/>
              <w:jc w:val="center"/>
              <w:rPr>
                <w:rFonts w:cs="Calibri"/>
                <w:b/>
                <w:color w:val="000000"/>
              </w:rPr>
            </w:pPr>
            <w:r w:rsidRPr="00FA5850">
              <w:rPr>
                <w:rFonts w:cs="Calibri"/>
                <w:b/>
                <w:color w:val="000000"/>
              </w:rPr>
              <w:t>Measure Category</w:t>
            </w:r>
          </w:p>
        </w:tc>
        <w:tc>
          <w:tcPr>
            <w:tcW w:w="4338" w:type="dxa"/>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FA5850" w:rsidRPr="00FA5850" w:rsidRDefault="00FA5850" w:rsidP="002866CE">
            <w:pPr>
              <w:keepNext/>
              <w:spacing w:after="0" w:line="240" w:lineRule="auto"/>
              <w:jc w:val="center"/>
              <w:rPr>
                <w:rFonts w:cs="Calibri"/>
                <w:b/>
                <w:color w:val="000000"/>
              </w:rPr>
            </w:pPr>
            <w:r w:rsidRPr="00FA5850">
              <w:rPr>
                <w:rFonts w:cs="Calibri"/>
                <w:b/>
                <w:color w:val="000000"/>
              </w:rPr>
              <w:t>Service Incentive</w:t>
            </w:r>
          </w:p>
        </w:tc>
        <w:tc>
          <w:tcPr>
            <w:tcW w:w="1970" w:type="dxa"/>
            <w:tcBorders>
              <w:top w:val="single" w:sz="4" w:space="0" w:color="auto"/>
              <w:left w:val="nil"/>
              <w:bottom w:val="single" w:sz="4" w:space="0" w:color="auto"/>
              <w:right w:val="single" w:sz="4" w:space="0" w:color="auto"/>
            </w:tcBorders>
            <w:shd w:val="clear" w:color="auto" w:fill="BFBFBF" w:themeFill="background1" w:themeFillShade="BF"/>
            <w:vAlign w:val="bottom"/>
            <w:hideMark/>
          </w:tcPr>
          <w:p w:rsidR="00FA5850" w:rsidRPr="00FA5850" w:rsidRDefault="00FA5850" w:rsidP="002866CE">
            <w:pPr>
              <w:keepNext/>
              <w:spacing w:after="0" w:line="240" w:lineRule="auto"/>
              <w:jc w:val="center"/>
              <w:rPr>
                <w:rFonts w:cs="Calibri"/>
                <w:b/>
                <w:color w:val="000000"/>
              </w:rPr>
            </w:pPr>
            <w:r w:rsidRPr="00FA5850">
              <w:rPr>
                <w:rFonts w:cs="Calibri"/>
                <w:b/>
                <w:color w:val="000000"/>
              </w:rPr>
              <w:t>Related Workpapers</w:t>
            </w:r>
          </w:p>
        </w:tc>
      </w:tr>
      <w:tr w:rsidR="00B12430" w:rsidRPr="00FA5850" w:rsidTr="00B12430">
        <w:trPr>
          <w:cantSplit/>
          <w:trHeight w:val="20"/>
          <w:jc w:val="center"/>
        </w:trPr>
        <w:tc>
          <w:tcPr>
            <w:tcW w:w="0" w:type="auto"/>
            <w:vMerge w:val="restart"/>
            <w:tcBorders>
              <w:top w:val="single" w:sz="4" w:space="0" w:color="auto"/>
              <w:left w:val="single" w:sz="4" w:space="0" w:color="auto"/>
              <w:right w:val="single" w:sz="4" w:space="0" w:color="auto"/>
            </w:tcBorders>
            <w:noWrap/>
            <w:vAlign w:val="center"/>
            <w:hideMark/>
          </w:tcPr>
          <w:p w:rsidR="00B12430" w:rsidRPr="00FA5850" w:rsidRDefault="00B12430" w:rsidP="002866CE">
            <w:pPr>
              <w:keepNext/>
              <w:spacing w:after="0" w:line="240" w:lineRule="auto"/>
              <w:jc w:val="center"/>
              <w:rPr>
                <w:rFonts w:cs="Calibri"/>
                <w:color w:val="000000"/>
              </w:rPr>
            </w:pPr>
            <w:r w:rsidRPr="00FA5850">
              <w:rPr>
                <w:rFonts w:cs="Calibri"/>
                <w:color w:val="000000"/>
              </w:rPr>
              <w:t>RCA</w:t>
            </w:r>
            <w:r>
              <w:rPr>
                <w:rFonts w:cs="Calibri"/>
                <w:color w:val="000000"/>
              </w:rPr>
              <w:t xml:space="preserve"> and Coil Cleaning</w:t>
            </w:r>
          </w:p>
        </w:tc>
        <w:tc>
          <w:tcPr>
            <w:tcW w:w="0" w:type="auto"/>
            <w:tcBorders>
              <w:top w:val="single" w:sz="4" w:space="0" w:color="auto"/>
              <w:left w:val="single" w:sz="4" w:space="0" w:color="auto"/>
              <w:bottom w:val="dotted" w:sz="4" w:space="0" w:color="auto"/>
              <w:right w:val="single" w:sz="4" w:space="0" w:color="auto"/>
            </w:tcBorders>
            <w:noWrap/>
            <w:vAlign w:val="center"/>
            <w:hideMark/>
          </w:tcPr>
          <w:p w:rsidR="00B12430" w:rsidRPr="002866CE" w:rsidRDefault="00B12430" w:rsidP="002866CE">
            <w:pPr>
              <w:pStyle w:val="ListParagraph"/>
              <w:numPr>
                <w:ilvl w:val="0"/>
                <w:numId w:val="21"/>
              </w:numPr>
              <w:spacing w:after="0"/>
              <w:ind w:left="360"/>
              <w:contextualSpacing w:val="0"/>
              <w:rPr>
                <w:rFonts w:cs="Calibri"/>
                <w:color w:val="000000"/>
              </w:rPr>
            </w:pPr>
            <w:r w:rsidRPr="002866CE">
              <w:rPr>
                <w:rFonts w:cs="Calibri"/>
                <w:color w:val="000000"/>
              </w:rPr>
              <w:t>Coil Cleaning</w:t>
            </w:r>
          </w:p>
        </w:tc>
        <w:tc>
          <w:tcPr>
            <w:tcW w:w="0" w:type="auto"/>
            <w:tcBorders>
              <w:top w:val="single" w:sz="4" w:space="0" w:color="auto"/>
              <w:left w:val="single" w:sz="4" w:space="0" w:color="auto"/>
              <w:bottom w:val="dotted" w:sz="4" w:space="0" w:color="auto"/>
              <w:right w:val="single" w:sz="4" w:space="0" w:color="auto"/>
            </w:tcBorders>
            <w:vAlign w:val="center"/>
          </w:tcPr>
          <w:p w:rsidR="00B12430" w:rsidRPr="00FA5850" w:rsidRDefault="00B12430" w:rsidP="002866CE">
            <w:pPr>
              <w:keepNext/>
              <w:spacing w:after="0" w:line="240" w:lineRule="auto"/>
              <w:rPr>
                <w:rFonts w:cs="Calibri"/>
                <w:color w:val="000000"/>
              </w:rPr>
            </w:pPr>
            <w:r w:rsidRPr="00FA5850">
              <w:rPr>
                <w:rFonts w:cs="Calibri"/>
                <w:color w:val="000000"/>
              </w:rPr>
              <w:t>WPSDGENRHC1010</w:t>
            </w:r>
          </w:p>
        </w:tc>
      </w:tr>
      <w:tr w:rsidR="00B12430" w:rsidRPr="00FA5850" w:rsidTr="00B12430">
        <w:trPr>
          <w:cantSplit/>
          <w:trHeight w:val="20"/>
          <w:jc w:val="center"/>
        </w:trPr>
        <w:tc>
          <w:tcPr>
            <w:tcW w:w="0" w:type="auto"/>
            <w:vMerge/>
            <w:tcBorders>
              <w:left w:val="single" w:sz="4" w:space="0" w:color="auto"/>
              <w:right w:val="single" w:sz="4" w:space="0" w:color="auto"/>
            </w:tcBorders>
            <w:vAlign w:val="center"/>
            <w:hideMark/>
          </w:tcPr>
          <w:p w:rsidR="00B12430" w:rsidRPr="00FA5850" w:rsidRDefault="00B12430" w:rsidP="002866CE">
            <w:pPr>
              <w:keepNext/>
              <w:spacing w:after="0" w:line="240" w:lineRule="auto"/>
              <w:rPr>
                <w:rFonts w:cs="Calibri"/>
                <w:color w:val="000000"/>
              </w:rPr>
            </w:pPr>
          </w:p>
        </w:tc>
        <w:tc>
          <w:tcPr>
            <w:tcW w:w="0" w:type="auto"/>
            <w:tcBorders>
              <w:top w:val="dotted" w:sz="4" w:space="0" w:color="auto"/>
              <w:left w:val="single" w:sz="4" w:space="0" w:color="auto"/>
              <w:bottom w:val="dotted" w:sz="4" w:space="0" w:color="auto"/>
              <w:right w:val="single" w:sz="4" w:space="0" w:color="auto"/>
            </w:tcBorders>
            <w:noWrap/>
            <w:vAlign w:val="center"/>
            <w:hideMark/>
          </w:tcPr>
          <w:p w:rsidR="00B12430" w:rsidRPr="002866CE" w:rsidRDefault="00B12430" w:rsidP="002866CE">
            <w:pPr>
              <w:pStyle w:val="ListParagraph"/>
              <w:numPr>
                <w:ilvl w:val="0"/>
                <w:numId w:val="21"/>
              </w:numPr>
              <w:spacing w:after="0"/>
              <w:ind w:left="360"/>
              <w:contextualSpacing w:val="0"/>
              <w:rPr>
                <w:rFonts w:cs="Calibri"/>
                <w:color w:val="000000"/>
              </w:rPr>
            </w:pPr>
            <w:r w:rsidRPr="002866CE">
              <w:rPr>
                <w:rFonts w:cs="Calibri"/>
                <w:color w:val="000000"/>
              </w:rPr>
              <w:t>Adjust Airflow</w:t>
            </w:r>
          </w:p>
        </w:tc>
        <w:tc>
          <w:tcPr>
            <w:tcW w:w="0" w:type="auto"/>
            <w:tcBorders>
              <w:top w:val="dotted" w:sz="4" w:space="0" w:color="auto"/>
              <w:left w:val="single" w:sz="4" w:space="0" w:color="auto"/>
              <w:bottom w:val="dotted" w:sz="4" w:space="0" w:color="auto"/>
              <w:right w:val="single" w:sz="4" w:space="0" w:color="auto"/>
            </w:tcBorders>
            <w:vAlign w:val="center"/>
          </w:tcPr>
          <w:p w:rsidR="00B12430" w:rsidRPr="00FA5850" w:rsidRDefault="00B12430" w:rsidP="002866CE">
            <w:pPr>
              <w:keepNext/>
              <w:spacing w:after="0" w:line="240" w:lineRule="auto"/>
              <w:jc w:val="center"/>
              <w:rPr>
                <w:rFonts w:cs="Calibri"/>
                <w:color w:val="000000"/>
              </w:rPr>
            </w:pPr>
            <w:r w:rsidRPr="00FA5850">
              <w:rPr>
                <w:rFonts w:cs="Calibri"/>
                <w:color w:val="000000"/>
              </w:rPr>
              <w:t>WPSDGENRHC1020</w:t>
            </w:r>
          </w:p>
        </w:tc>
      </w:tr>
      <w:tr w:rsidR="00B12430" w:rsidRPr="00FA5850" w:rsidTr="00B12430">
        <w:trPr>
          <w:cantSplit/>
          <w:trHeight w:val="20"/>
          <w:jc w:val="center"/>
        </w:trPr>
        <w:tc>
          <w:tcPr>
            <w:tcW w:w="0" w:type="auto"/>
            <w:vMerge/>
            <w:tcBorders>
              <w:left w:val="single" w:sz="4" w:space="0" w:color="auto"/>
              <w:right w:val="single" w:sz="4" w:space="0" w:color="auto"/>
            </w:tcBorders>
            <w:vAlign w:val="center"/>
            <w:hideMark/>
          </w:tcPr>
          <w:p w:rsidR="00B12430" w:rsidRPr="00FA5850" w:rsidRDefault="00B12430" w:rsidP="002866CE">
            <w:pPr>
              <w:keepNext/>
              <w:spacing w:after="0" w:line="240" w:lineRule="auto"/>
              <w:rPr>
                <w:rFonts w:cs="Calibri"/>
                <w:color w:val="000000"/>
              </w:rPr>
            </w:pPr>
          </w:p>
        </w:tc>
        <w:tc>
          <w:tcPr>
            <w:tcW w:w="0" w:type="auto"/>
            <w:tcBorders>
              <w:top w:val="dotted" w:sz="4" w:space="0" w:color="auto"/>
              <w:left w:val="single" w:sz="4" w:space="0" w:color="auto"/>
              <w:bottom w:val="dotted" w:sz="4" w:space="0" w:color="auto"/>
              <w:right w:val="single" w:sz="4" w:space="0" w:color="auto"/>
            </w:tcBorders>
            <w:noWrap/>
            <w:vAlign w:val="center"/>
            <w:hideMark/>
          </w:tcPr>
          <w:p w:rsidR="00B12430" w:rsidRPr="002866CE" w:rsidRDefault="00B12430" w:rsidP="002866CE">
            <w:pPr>
              <w:pStyle w:val="ListParagraph"/>
              <w:numPr>
                <w:ilvl w:val="0"/>
                <w:numId w:val="21"/>
              </w:numPr>
              <w:spacing w:after="0"/>
              <w:ind w:left="360"/>
              <w:contextualSpacing w:val="0"/>
              <w:rPr>
                <w:rFonts w:cs="Calibri"/>
                <w:color w:val="000000"/>
              </w:rPr>
            </w:pPr>
            <w:r w:rsidRPr="002866CE">
              <w:rPr>
                <w:rFonts w:cs="Calibri"/>
                <w:color w:val="000000"/>
              </w:rPr>
              <w:t>Refrigerant System Service</w:t>
            </w:r>
          </w:p>
        </w:tc>
        <w:tc>
          <w:tcPr>
            <w:tcW w:w="0" w:type="auto"/>
            <w:tcBorders>
              <w:top w:val="dotted" w:sz="4" w:space="0" w:color="auto"/>
              <w:left w:val="single" w:sz="4" w:space="0" w:color="auto"/>
              <w:bottom w:val="dotted" w:sz="4" w:space="0" w:color="auto"/>
              <w:right w:val="single" w:sz="4" w:space="0" w:color="auto"/>
            </w:tcBorders>
            <w:vAlign w:val="center"/>
          </w:tcPr>
          <w:p w:rsidR="00B12430" w:rsidRPr="00FA5850" w:rsidRDefault="00B12430" w:rsidP="002866CE">
            <w:pPr>
              <w:keepNext/>
              <w:spacing w:after="0" w:line="240" w:lineRule="auto"/>
              <w:jc w:val="center"/>
              <w:rPr>
                <w:rFonts w:cs="Calibri"/>
                <w:color w:val="000000"/>
              </w:rPr>
            </w:pPr>
            <w:r w:rsidRPr="00FA5850">
              <w:rPr>
                <w:rFonts w:cs="Calibri"/>
                <w:color w:val="000000"/>
              </w:rPr>
              <w:t>WPSDGENRHC1040</w:t>
            </w:r>
          </w:p>
        </w:tc>
      </w:tr>
      <w:tr w:rsidR="00B12430" w:rsidRPr="00FA5850" w:rsidTr="00B12430">
        <w:trPr>
          <w:cantSplit/>
          <w:trHeight w:val="20"/>
          <w:jc w:val="center"/>
        </w:trPr>
        <w:tc>
          <w:tcPr>
            <w:tcW w:w="0" w:type="auto"/>
            <w:vMerge/>
            <w:tcBorders>
              <w:left w:val="single" w:sz="4" w:space="0" w:color="auto"/>
              <w:right w:val="single" w:sz="4" w:space="0" w:color="auto"/>
            </w:tcBorders>
            <w:vAlign w:val="center"/>
            <w:hideMark/>
          </w:tcPr>
          <w:p w:rsidR="00B12430" w:rsidRPr="00FA5850" w:rsidRDefault="00B12430" w:rsidP="002866CE">
            <w:pPr>
              <w:keepNext/>
              <w:spacing w:after="0" w:line="240" w:lineRule="auto"/>
              <w:rPr>
                <w:rFonts w:cs="Calibri"/>
                <w:color w:val="000000"/>
              </w:rPr>
            </w:pPr>
          </w:p>
        </w:tc>
        <w:tc>
          <w:tcPr>
            <w:tcW w:w="0" w:type="auto"/>
            <w:tcBorders>
              <w:top w:val="dotted" w:sz="4" w:space="0" w:color="auto"/>
              <w:left w:val="single" w:sz="4" w:space="0" w:color="auto"/>
              <w:bottom w:val="dotted" w:sz="4" w:space="0" w:color="auto"/>
              <w:right w:val="single" w:sz="4" w:space="0" w:color="auto"/>
            </w:tcBorders>
            <w:noWrap/>
            <w:vAlign w:val="center"/>
            <w:hideMark/>
          </w:tcPr>
          <w:p w:rsidR="00B12430" w:rsidRPr="002866CE" w:rsidRDefault="00B12430" w:rsidP="002866CE">
            <w:pPr>
              <w:pStyle w:val="ListParagraph"/>
              <w:numPr>
                <w:ilvl w:val="0"/>
                <w:numId w:val="21"/>
              </w:numPr>
              <w:spacing w:after="0"/>
              <w:ind w:left="360"/>
              <w:contextualSpacing w:val="0"/>
              <w:rPr>
                <w:rFonts w:cs="Calibri"/>
                <w:color w:val="000000"/>
              </w:rPr>
            </w:pPr>
            <w:r w:rsidRPr="002866CE">
              <w:rPr>
                <w:rFonts w:cs="Calibri"/>
                <w:color w:val="000000"/>
              </w:rPr>
              <w:t>Condenser Coil Cleaning</w:t>
            </w:r>
          </w:p>
        </w:tc>
        <w:tc>
          <w:tcPr>
            <w:tcW w:w="0" w:type="auto"/>
            <w:tcBorders>
              <w:top w:val="dotted" w:sz="4" w:space="0" w:color="auto"/>
              <w:left w:val="single" w:sz="4" w:space="0" w:color="auto"/>
              <w:bottom w:val="dotted" w:sz="4" w:space="0" w:color="auto"/>
              <w:right w:val="single" w:sz="4" w:space="0" w:color="auto"/>
            </w:tcBorders>
            <w:vAlign w:val="bottom"/>
          </w:tcPr>
          <w:p w:rsidR="00B12430" w:rsidRPr="00FA5850" w:rsidRDefault="00B12430" w:rsidP="002866CE">
            <w:pPr>
              <w:keepNext/>
              <w:spacing w:after="0" w:line="240" w:lineRule="auto"/>
              <w:jc w:val="center"/>
              <w:rPr>
                <w:rFonts w:cs="Calibri"/>
                <w:color w:val="000000"/>
              </w:rPr>
            </w:pPr>
            <w:r w:rsidRPr="00FA5850">
              <w:rPr>
                <w:rFonts w:cs="Calibri"/>
                <w:color w:val="000000"/>
              </w:rPr>
              <w:t>SCE13HC037</w:t>
            </w:r>
          </w:p>
        </w:tc>
      </w:tr>
      <w:tr w:rsidR="00B12430" w:rsidRPr="00FA5850" w:rsidTr="00B12430">
        <w:trPr>
          <w:cantSplit/>
          <w:trHeight w:val="20"/>
          <w:jc w:val="center"/>
        </w:trPr>
        <w:tc>
          <w:tcPr>
            <w:tcW w:w="0" w:type="auto"/>
            <w:vMerge/>
            <w:tcBorders>
              <w:left w:val="single" w:sz="4" w:space="0" w:color="auto"/>
              <w:right w:val="single" w:sz="4" w:space="0" w:color="auto"/>
            </w:tcBorders>
            <w:vAlign w:val="center"/>
            <w:hideMark/>
          </w:tcPr>
          <w:p w:rsidR="00B12430" w:rsidRPr="00FA5850" w:rsidRDefault="00B12430" w:rsidP="00FA5850">
            <w:pPr>
              <w:spacing w:after="0" w:line="240" w:lineRule="auto"/>
              <w:rPr>
                <w:rFonts w:cs="Calibri"/>
                <w:color w:val="000000"/>
              </w:rPr>
            </w:pPr>
          </w:p>
        </w:tc>
        <w:tc>
          <w:tcPr>
            <w:tcW w:w="0" w:type="auto"/>
            <w:tcBorders>
              <w:top w:val="dotted" w:sz="4" w:space="0" w:color="auto"/>
              <w:left w:val="single" w:sz="4" w:space="0" w:color="auto"/>
              <w:bottom w:val="dotted" w:sz="4" w:space="0" w:color="auto"/>
              <w:right w:val="single" w:sz="4" w:space="0" w:color="auto"/>
            </w:tcBorders>
            <w:noWrap/>
            <w:vAlign w:val="center"/>
            <w:hideMark/>
          </w:tcPr>
          <w:p w:rsidR="00B12430" w:rsidRPr="002866CE" w:rsidRDefault="00B12430" w:rsidP="002866CE">
            <w:pPr>
              <w:pStyle w:val="ListParagraph"/>
              <w:numPr>
                <w:ilvl w:val="0"/>
                <w:numId w:val="21"/>
              </w:numPr>
              <w:spacing w:after="0"/>
              <w:ind w:left="360"/>
              <w:contextualSpacing w:val="0"/>
              <w:rPr>
                <w:rFonts w:cs="Calibri"/>
                <w:color w:val="000000"/>
              </w:rPr>
            </w:pPr>
            <w:r w:rsidRPr="002866CE">
              <w:rPr>
                <w:rFonts w:cs="Calibri"/>
                <w:color w:val="000000"/>
              </w:rPr>
              <w:t>Evaporator Coil Cleaning</w:t>
            </w:r>
          </w:p>
        </w:tc>
        <w:tc>
          <w:tcPr>
            <w:tcW w:w="0" w:type="auto"/>
            <w:tcBorders>
              <w:top w:val="dotted" w:sz="4" w:space="0" w:color="auto"/>
              <w:left w:val="single" w:sz="4" w:space="0" w:color="auto"/>
              <w:bottom w:val="dotted" w:sz="4" w:space="0" w:color="auto"/>
              <w:right w:val="single" w:sz="4" w:space="0" w:color="auto"/>
            </w:tcBorders>
            <w:noWrap/>
            <w:vAlign w:val="center"/>
          </w:tcPr>
          <w:p w:rsidR="00B12430" w:rsidRPr="00FA5850" w:rsidRDefault="00B12430" w:rsidP="00020040">
            <w:pPr>
              <w:spacing w:after="0" w:line="240" w:lineRule="auto"/>
              <w:jc w:val="center"/>
              <w:rPr>
                <w:rFonts w:cs="Calibri"/>
                <w:color w:val="000000"/>
              </w:rPr>
            </w:pPr>
            <w:r w:rsidRPr="00FA5850">
              <w:rPr>
                <w:rFonts w:cs="Calibri"/>
                <w:color w:val="000000"/>
              </w:rPr>
              <w:t>PGECOHVC138</w:t>
            </w:r>
          </w:p>
        </w:tc>
      </w:tr>
      <w:tr w:rsidR="00B12430" w:rsidRPr="00FA5850" w:rsidTr="00B12430">
        <w:trPr>
          <w:cantSplit/>
          <w:trHeight w:val="20"/>
          <w:jc w:val="center"/>
        </w:trPr>
        <w:tc>
          <w:tcPr>
            <w:tcW w:w="0" w:type="auto"/>
            <w:vMerge/>
            <w:tcBorders>
              <w:left w:val="single" w:sz="4" w:space="0" w:color="auto"/>
              <w:right w:val="single" w:sz="4" w:space="0" w:color="auto"/>
            </w:tcBorders>
            <w:vAlign w:val="center"/>
            <w:hideMark/>
          </w:tcPr>
          <w:p w:rsidR="00B12430" w:rsidRPr="00FA5850" w:rsidRDefault="00B12430" w:rsidP="00FA5850">
            <w:pPr>
              <w:spacing w:after="0" w:line="240" w:lineRule="auto"/>
              <w:rPr>
                <w:rFonts w:cs="Calibri"/>
                <w:color w:val="000000"/>
              </w:rPr>
            </w:pPr>
          </w:p>
        </w:tc>
        <w:tc>
          <w:tcPr>
            <w:tcW w:w="0" w:type="auto"/>
            <w:tcBorders>
              <w:top w:val="dotted" w:sz="4" w:space="0" w:color="auto"/>
              <w:left w:val="single" w:sz="4" w:space="0" w:color="auto"/>
              <w:bottom w:val="dotted" w:sz="4" w:space="0" w:color="auto"/>
              <w:right w:val="single" w:sz="4" w:space="0" w:color="auto"/>
            </w:tcBorders>
            <w:noWrap/>
            <w:vAlign w:val="center"/>
            <w:hideMark/>
          </w:tcPr>
          <w:p w:rsidR="00B12430" w:rsidRPr="002866CE" w:rsidRDefault="00B12430" w:rsidP="002866CE">
            <w:pPr>
              <w:pStyle w:val="ListParagraph"/>
              <w:numPr>
                <w:ilvl w:val="0"/>
                <w:numId w:val="21"/>
              </w:numPr>
              <w:spacing w:after="0"/>
              <w:ind w:left="360"/>
              <w:contextualSpacing w:val="0"/>
              <w:rPr>
                <w:rFonts w:cs="Calibri"/>
                <w:color w:val="000000"/>
              </w:rPr>
            </w:pPr>
            <w:r w:rsidRPr="002866CE">
              <w:rPr>
                <w:rFonts w:cs="Calibri"/>
                <w:color w:val="000000"/>
              </w:rPr>
              <w:t>Condenser Coil Combing</w:t>
            </w:r>
          </w:p>
        </w:tc>
        <w:tc>
          <w:tcPr>
            <w:tcW w:w="0" w:type="auto"/>
            <w:tcBorders>
              <w:top w:val="dotted" w:sz="4" w:space="0" w:color="auto"/>
              <w:left w:val="single" w:sz="4" w:space="0" w:color="auto"/>
              <w:bottom w:val="dotted" w:sz="4" w:space="0" w:color="auto"/>
              <w:right w:val="single" w:sz="4" w:space="0" w:color="auto"/>
            </w:tcBorders>
            <w:noWrap/>
            <w:vAlign w:val="bottom"/>
          </w:tcPr>
          <w:p w:rsidR="00B12430" w:rsidRDefault="00B12430" w:rsidP="00020040">
            <w:pPr>
              <w:spacing w:after="0" w:line="240" w:lineRule="auto"/>
              <w:jc w:val="center"/>
              <w:rPr>
                <w:rFonts w:cs="Calibri"/>
                <w:color w:val="000000"/>
              </w:rPr>
            </w:pPr>
            <w:r w:rsidRPr="00FA5850">
              <w:rPr>
                <w:rFonts w:cs="Calibri"/>
                <w:color w:val="000000"/>
              </w:rPr>
              <w:t>PGE3PHVC156</w:t>
            </w:r>
          </w:p>
          <w:p w:rsidR="00B12430" w:rsidRPr="00FA5850" w:rsidRDefault="00B12430" w:rsidP="00020040">
            <w:pPr>
              <w:spacing w:after="0" w:line="240" w:lineRule="auto"/>
              <w:jc w:val="center"/>
              <w:rPr>
                <w:rFonts w:cs="Calibri"/>
                <w:color w:val="000000"/>
              </w:rPr>
            </w:pPr>
            <w:r>
              <w:rPr>
                <w:rFonts w:cs="Calibri"/>
                <w:color w:val="000000"/>
              </w:rPr>
              <w:t>PGE3PHVC158</w:t>
            </w:r>
          </w:p>
        </w:tc>
      </w:tr>
      <w:tr w:rsidR="00B12430" w:rsidRPr="00FA5850" w:rsidTr="00C33021">
        <w:trPr>
          <w:cantSplit/>
          <w:trHeight w:val="20"/>
          <w:jc w:val="center"/>
        </w:trPr>
        <w:tc>
          <w:tcPr>
            <w:tcW w:w="0" w:type="auto"/>
            <w:vMerge/>
            <w:tcBorders>
              <w:left w:val="single" w:sz="4" w:space="0" w:color="auto"/>
              <w:bottom w:val="single" w:sz="4" w:space="0" w:color="auto"/>
              <w:right w:val="single" w:sz="4" w:space="0" w:color="auto"/>
            </w:tcBorders>
            <w:vAlign w:val="center"/>
            <w:hideMark/>
          </w:tcPr>
          <w:p w:rsidR="00B12430" w:rsidRPr="00FA5850" w:rsidRDefault="00B12430" w:rsidP="00FA5850">
            <w:pPr>
              <w:spacing w:after="0" w:line="240" w:lineRule="auto"/>
              <w:rPr>
                <w:rFonts w:cs="Calibri"/>
                <w:color w:val="000000"/>
              </w:rPr>
            </w:pPr>
          </w:p>
        </w:tc>
        <w:tc>
          <w:tcPr>
            <w:tcW w:w="0" w:type="auto"/>
            <w:tcBorders>
              <w:top w:val="dotted" w:sz="4" w:space="0" w:color="auto"/>
              <w:left w:val="single" w:sz="4" w:space="0" w:color="auto"/>
              <w:bottom w:val="single" w:sz="4" w:space="0" w:color="auto"/>
              <w:right w:val="single" w:sz="4" w:space="0" w:color="auto"/>
            </w:tcBorders>
            <w:vAlign w:val="center"/>
            <w:hideMark/>
          </w:tcPr>
          <w:p w:rsidR="00B12430" w:rsidRPr="002866CE" w:rsidRDefault="00B12430" w:rsidP="002866CE">
            <w:pPr>
              <w:pStyle w:val="ListParagraph"/>
              <w:numPr>
                <w:ilvl w:val="0"/>
                <w:numId w:val="21"/>
              </w:numPr>
              <w:spacing w:after="0"/>
              <w:ind w:left="360"/>
              <w:contextualSpacing w:val="0"/>
              <w:rPr>
                <w:rFonts w:cs="Calibri"/>
                <w:color w:val="000000"/>
              </w:rPr>
            </w:pPr>
            <w:r w:rsidRPr="002866CE">
              <w:rPr>
                <w:rFonts w:cs="Calibri"/>
                <w:color w:val="000000"/>
              </w:rPr>
              <w:t>Refrigerant Charge and Airflow Service</w:t>
            </w:r>
          </w:p>
        </w:tc>
        <w:tc>
          <w:tcPr>
            <w:tcW w:w="0" w:type="auto"/>
            <w:tcBorders>
              <w:top w:val="dotted" w:sz="4" w:space="0" w:color="auto"/>
              <w:left w:val="single" w:sz="4" w:space="0" w:color="auto"/>
              <w:bottom w:val="single" w:sz="4" w:space="0" w:color="auto"/>
              <w:right w:val="single" w:sz="4" w:space="0" w:color="auto"/>
            </w:tcBorders>
            <w:noWrap/>
            <w:vAlign w:val="bottom"/>
          </w:tcPr>
          <w:p w:rsidR="00B12430" w:rsidRPr="00FA5850" w:rsidRDefault="00B12430" w:rsidP="00020040">
            <w:pPr>
              <w:spacing w:after="0" w:line="240" w:lineRule="auto"/>
              <w:jc w:val="center"/>
              <w:rPr>
                <w:rFonts w:cs="Calibri"/>
                <w:color w:val="000000"/>
              </w:rPr>
            </w:pPr>
            <w:r w:rsidRPr="00FA5850">
              <w:rPr>
                <w:rFonts w:cs="Calibri"/>
                <w:color w:val="000000"/>
              </w:rPr>
              <w:t>PGE3PHVC1</w:t>
            </w:r>
            <w:r>
              <w:rPr>
                <w:rFonts w:cs="Calibri"/>
                <w:color w:val="000000"/>
              </w:rPr>
              <w:t>60</w:t>
            </w:r>
          </w:p>
        </w:tc>
      </w:tr>
      <w:tr w:rsidR="00FA5850" w:rsidRPr="00FA5850" w:rsidTr="00C33021">
        <w:trPr>
          <w:cantSplit/>
          <w:trHeight w:val="20"/>
          <w:jc w:val="center"/>
        </w:trPr>
        <w:tc>
          <w:tcPr>
            <w:tcW w:w="0" w:type="auto"/>
            <w:vMerge w:val="restart"/>
            <w:tcBorders>
              <w:top w:val="single" w:sz="4" w:space="0" w:color="auto"/>
              <w:left w:val="single" w:sz="4" w:space="0" w:color="auto"/>
              <w:bottom w:val="single" w:sz="4" w:space="0" w:color="000000"/>
              <w:right w:val="single" w:sz="4" w:space="0" w:color="auto"/>
            </w:tcBorders>
            <w:vAlign w:val="center"/>
            <w:hideMark/>
          </w:tcPr>
          <w:p w:rsidR="00FA5850" w:rsidRPr="00FA5850" w:rsidRDefault="00FA5850" w:rsidP="00FA5850">
            <w:pPr>
              <w:spacing w:after="0" w:line="240" w:lineRule="auto"/>
              <w:jc w:val="center"/>
              <w:rPr>
                <w:rFonts w:cs="Calibri"/>
                <w:color w:val="000000"/>
              </w:rPr>
            </w:pPr>
            <w:r w:rsidRPr="00FA5850">
              <w:rPr>
                <w:rFonts w:cs="Calibri"/>
                <w:color w:val="000000"/>
              </w:rPr>
              <w:t>Economizer Repair</w:t>
            </w:r>
            <w:r w:rsidR="002866CE">
              <w:rPr>
                <w:rFonts w:cs="Calibri"/>
                <w:color w:val="000000"/>
              </w:rPr>
              <w:t xml:space="preserve"> and Control Revision</w:t>
            </w:r>
          </w:p>
        </w:tc>
        <w:tc>
          <w:tcPr>
            <w:tcW w:w="0" w:type="auto"/>
            <w:tcBorders>
              <w:top w:val="single" w:sz="4" w:space="0" w:color="auto"/>
              <w:left w:val="nil"/>
              <w:bottom w:val="nil"/>
              <w:right w:val="single" w:sz="4" w:space="0" w:color="auto"/>
            </w:tcBorders>
            <w:noWrap/>
            <w:vAlign w:val="center"/>
            <w:hideMark/>
          </w:tcPr>
          <w:p w:rsidR="00FA5850" w:rsidRPr="00D36FA5" w:rsidRDefault="00FA5850" w:rsidP="007C7C15">
            <w:pPr>
              <w:pStyle w:val="ListParagraph"/>
              <w:numPr>
                <w:ilvl w:val="0"/>
                <w:numId w:val="21"/>
              </w:numPr>
              <w:spacing w:after="0" w:line="240" w:lineRule="auto"/>
              <w:ind w:left="360"/>
              <w:rPr>
                <w:rFonts w:cs="Calibri"/>
                <w:color w:val="000000"/>
              </w:rPr>
            </w:pPr>
            <w:r w:rsidRPr="00D36FA5">
              <w:rPr>
                <w:rFonts w:cs="Calibri"/>
                <w:color w:val="000000"/>
              </w:rPr>
              <w:t>Economizer Functional Test</w:t>
            </w:r>
          </w:p>
        </w:tc>
        <w:tc>
          <w:tcPr>
            <w:tcW w:w="0" w:type="auto"/>
            <w:tcBorders>
              <w:top w:val="single" w:sz="4" w:space="0" w:color="auto"/>
              <w:left w:val="nil"/>
              <w:bottom w:val="nil"/>
              <w:right w:val="single" w:sz="4" w:space="0" w:color="auto"/>
            </w:tcBorders>
            <w:noWrap/>
            <w:vAlign w:val="bottom"/>
          </w:tcPr>
          <w:p w:rsidR="00FA5850" w:rsidRPr="00FA5850" w:rsidRDefault="00FA5850" w:rsidP="00FA5850">
            <w:pPr>
              <w:spacing w:after="0" w:line="240" w:lineRule="auto"/>
              <w:jc w:val="center"/>
              <w:rPr>
                <w:rFonts w:cs="Calibri"/>
                <w:color w:val="000000"/>
              </w:rPr>
            </w:pPr>
          </w:p>
        </w:tc>
      </w:tr>
      <w:tr w:rsidR="00FA5850" w:rsidRPr="00FA5850" w:rsidTr="00C33021">
        <w:trPr>
          <w:cantSplit/>
          <w:trHeight w:val="20"/>
          <w:jc w:val="center"/>
        </w:trPr>
        <w:tc>
          <w:tcPr>
            <w:tcW w:w="0" w:type="auto"/>
            <w:vMerge/>
            <w:tcBorders>
              <w:top w:val="nil"/>
              <w:left w:val="single" w:sz="4" w:space="0" w:color="auto"/>
              <w:bottom w:val="single" w:sz="4" w:space="0" w:color="000000"/>
              <w:right w:val="single" w:sz="4" w:space="0" w:color="auto"/>
            </w:tcBorders>
            <w:vAlign w:val="center"/>
            <w:hideMark/>
          </w:tcPr>
          <w:p w:rsidR="00FA5850" w:rsidRPr="00FA5850" w:rsidRDefault="00FA5850" w:rsidP="00FA5850">
            <w:pPr>
              <w:spacing w:after="0" w:line="240" w:lineRule="auto"/>
              <w:rPr>
                <w:rFonts w:cs="Calibri"/>
                <w:color w:val="000000"/>
              </w:rPr>
            </w:pPr>
          </w:p>
        </w:tc>
        <w:tc>
          <w:tcPr>
            <w:tcW w:w="0" w:type="auto"/>
            <w:tcBorders>
              <w:top w:val="nil"/>
              <w:left w:val="nil"/>
              <w:bottom w:val="nil"/>
              <w:right w:val="single" w:sz="4" w:space="0" w:color="auto"/>
            </w:tcBorders>
            <w:vAlign w:val="center"/>
            <w:hideMark/>
          </w:tcPr>
          <w:p w:rsidR="00FA5850" w:rsidRPr="00D36FA5" w:rsidRDefault="00FA5850" w:rsidP="007C7C15">
            <w:pPr>
              <w:pStyle w:val="ListParagraph"/>
              <w:numPr>
                <w:ilvl w:val="0"/>
                <w:numId w:val="21"/>
              </w:numPr>
              <w:spacing w:after="0" w:line="240" w:lineRule="auto"/>
              <w:ind w:left="360"/>
              <w:rPr>
                <w:rFonts w:cs="Calibri"/>
                <w:color w:val="000000"/>
              </w:rPr>
            </w:pPr>
            <w:r w:rsidRPr="00D36FA5">
              <w:rPr>
                <w:rFonts w:cs="Calibri"/>
                <w:color w:val="000000"/>
              </w:rPr>
              <w:t>Integrate Economizer Wiring</w:t>
            </w:r>
          </w:p>
        </w:tc>
        <w:tc>
          <w:tcPr>
            <w:tcW w:w="0" w:type="auto"/>
            <w:tcBorders>
              <w:top w:val="nil"/>
              <w:left w:val="nil"/>
              <w:bottom w:val="nil"/>
              <w:right w:val="single" w:sz="4" w:space="0" w:color="auto"/>
            </w:tcBorders>
            <w:noWrap/>
            <w:vAlign w:val="bottom"/>
            <w:hideMark/>
          </w:tcPr>
          <w:p w:rsidR="00FA5850" w:rsidRPr="00FA5850" w:rsidRDefault="00FA5850" w:rsidP="00497640">
            <w:pPr>
              <w:spacing w:after="0" w:line="240" w:lineRule="auto"/>
              <w:jc w:val="center"/>
              <w:rPr>
                <w:rFonts w:cs="Calibri"/>
                <w:color w:val="000000"/>
              </w:rPr>
            </w:pPr>
            <w:r w:rsidRPr="00FA5850">
              <w:rPr>
                <w:rFonts w:cs="Calibri"/>
                <w:color w:val="000000"/>
              </w:rPr>
              <w:t>SCE13HC037</w:t>
            </w:r>
          </w:p>
        </w:tc>
      </w:tr>
      <w:tr w:rsidR="00FA5850" w:rsidRPr="00FA5850" w:rsidTr="00C33021">
        <w:trPr>
          <w:cantSplit/>
          <w:trHeight w:val="20"/>
          <w:jc w:val="center"/>
        </w:trPr>
        <w:tc>
          <w:tcPr>
            <w:tcW w:w="0" w:type="auto"/>
            <w:vMerge/>
            <w:tcBorders>
              <w:top w:val="nil"/>
              <w:left w:val="single" w:sz="4" w:space="0" w:color="auto"/>
              <w:bottom w:val="single" w:sz="4" w:space="0" w:color="000000"/>
              <w:right w:val="single" w:sz="4" w:space="0" w:color="auto"/>
            </w:tcBorders>
            <w:vAlign w:val="center"/>
            <w:hideMark/>
          </w:tcPr>
          <w:p w:rsidR="00FA5850" w:rsidRPr="00FA5850" w:rsidRDefault="00FA5850" w:rsidP="00FA5850">
            <w:pPr>
              <w:spacing w:after="0" w:line="240" w:lineRule="auto"/>
              <w:rPr>
                <w:rFonts w:cs="Calibri"/>
                <w:color w:val="000000"/>
              </w:rPr>
            </w:pPr>
          </w:p>
        </w:tc>
        <w:tc>
          <w:tcPr>
            <w:tcW w:w="0" w:type="auto"/>
            <w:tcBorders>
              <w:top w:val="nil"/>
              <w:left w:val="nil"/>
              <w:bottom w:val="nil"/>
              <w:right w:val="single" w:sz="4" w:space="0" w:color="auto"/>
            </w:tcBorders>
            <w:noWrap/>
            <w:vAlign w:val="center"/>
            <w:hideMark/>
          </w:tcPr>
          <w:p w:rsidR="00FA5850" w:rsidRPr="00D36FA5" w:rsidRDefault="00FA5850" w:rsidP="007C7C15">
            <w:pPr>
              <w:pStyle w:val="ListParagraph"/>
              <w:numPr>
                <w:ilvl w:val="0"/>
                <w:numId w:val="21"/>
              </w:numPr>
              <w:spacing w:after="0" w:line="240" w:lineRule="auto"/>
              <w:ind w:left="360"/>
              <w:rPr>
                <w:rFonts w:cs="Calibri"/>
                <w:color w:val="000000"/>
              </w:rPr>
            </w:pPr>
            <w:r w:rsidRPr="00D36FA5">
              <w:rPr>
                <w:rFonts w:cs="Calibri"/>
                <w:color w:val="000000"/>
              </w:rPr>
              <w:t>Replace Damper Motor</w:t>
            </w:r>
          </w:p>
        </w:tc>
        <w:tc>
          <w:tcPr>
            <w:tcW w:w="0" w:type="auto"/>
            <w:tcBorders>
              <w:top w:val="nil"/>
              <w:left w:val="nil"/>
              <w:bottom w:val="nil"/>
              <w:right w:val="single" w:sz="4" w:space="0" w:color="auto"/>
            </w:tcBorders>
            <w:noWrap/>
            <w:vAlign w:val="bottom"/>
            <w:hideMark/>
          </w:tcPr>
          <w:p w:rsidR="00FA5850" w:rsidRPr="00FA5850" w:rsidRDefault="00FA5850" w:rsidP="00FA5850">
            <w:pPr>
              <w:spacing w:after="0" w:line="240" w:lineRule="auto"/>
              <w:jc w:val="center"/>
              <w:rPr>
                <w:rFonts w:cs="Calibri"/>
                <w:color w:val="000000"/>
              </w:rPr>
            </w:pPr>
            <w:r w:rsidRPr="00FA5850">
              <w:rPr>
                <w:rFonts w:cs="Calibri"/>
                <w:color w:val="000000"/>
              </w:rPr>
              <w:t>PGECOHVC138</w:t>
            </w:r>
          </w:p>
        </w:tc>
      </w:tr>
      <w:tr w:rsidR="00FA5850" w:rsidRPr="00FA5850" w:rsidTr="00C33021">
        <w:trPr>
          <w:cantSplit/>
          <w:trHeight w:val="20"/>
          <w:jc w:val="center"/>
        </w:trPr>
        <w:tc>
          <w:tcPr>
            <w:tcW w:w="0" w:type="auto"/>
            <w:vMerge/>
            <w:tcBorders>
              <w:top w:val="nil"/>
              <w:left w:val="single" w:sz="4" w:space="0" w:color="auto"/>
              <w:bottom w:val="single" w:sz="4" w:space="0" w:color="000000"/>
              <w:right w:val="single" w:sz="4" w:space="0" w:color="auto"/>
            </w:tcBorders>
            <w:vAlign w:val="center"/>
            <w:hideMark/>
          </w:tcPr>
          <w:p w:rsidR="00FA5850" w:rsidRPr="00FA5850" w:rsidRDefault="00FA5850" w:rsidP="00FA5850">
            <w:pPr>
              <w:spacing w:after="0" w:line="240" w:lineRule="auto"/>
              <w:rPr>
                <w:rFonts w:cs="Calibri"/>
                <w:color w:val="000000"/>
              </w:rPr>
            </w:pPr>
          </w:p>
        </w:tc>
        <w:tc>
          <w:tcPr>
            <w:tcW w:w="0" w:type="auto"/>
            <w:tcBorders>
              <w:top w:val="nil"/>
              <w:left w:val="nil"/>
              <w:bottom w:val="dotted" w:sz="4" w:space="0" w:color="auto"/>
              <w:right w:val="single" w:sz="4" w:space="0" w:color="auto"/>
            </w:tcBorders>
            <w:noWrap/>
            <w:vAlign w:val="center"/>
            <w:hideMark/>
          </w:tcPr>
          <w:p w:rsidR="00FA5850" w:rsidRPr="00D36FA5" w:rsidRDefault="00FA5850" w:rsidP="007C7C15">
            <w:pPr>
              <w:pStyle w:val="ListParagraph"/>
              <w:numPr>
                <w:ilvl w:val="0"/>
                <w:numId w:val="21"/>
              </w:numPr>
              <w:spacing w:after="0" w:line="240" w:lineRule="auto"/>
              <w:ind w:left="360"/>
              <w:rPr>
                <w:rFonts w:cs="Calibri"/>
                <w:color w:val="000000"/>
              </w:rPr>
            </w:pPr>
            <w:r w:rsidRPr="00D36FA5">
              <w:rPr>
                <w:rFonts w:cs="Calibri"/>
                <w:color w:val="000000"/>
              </w:rPr>
              <w:t>Replace Controller/Sensor</w:t>
            </w:r>
          </w:p>
        </w:tc>
        <w:tc>
          <w:tcPr>
            <w:tcW w:w="0" w:type="auto"/>
            <w:tcBorders>
              <w:top w:val="nil"/>
              <w:left w:val="nil"/>
              <w:bottom w:val="dotted" w:sz="4" w:space="0" w:color="auto"/>
              <w:right w:val="single" w:sz="4" w:space="0" w:color="auto"/>
            </w:tcBorders>
            <w:noWrap/>
            <w:vAlign w:val="bottom"/>
          </w:tcPr>
          <w:p w:rsidR="00FA5850" w:rsidRPr="00FA5850" w:rsidRDefault="00FA5850" w:rsidP="00497640">
            <w:pPr>
              <w:spacing w:after="0" w:line="240" w:lineRule="auto"/>
              <w:jc w:val="center"/>
              <w:rPr>
                <w:rFonts w:cs="Calibri"/>
                <w:color w:val="000000"/>
              </w:rPr>
            </w:pPr>
          </w:p>
        </w:tc>
      </w:tr>
      <w:tr w:rsidR="00497640" w:rsidRPr="00FA5850" w:rsidTr="00D36FA5">
        <w:trPr>
          <w:cantSplit/>
          <w:trHeight w:val="20"/>
          <w:jc w:val="center"/>
        </w:trPr>
        <w:tc>
          <w:tcPr>
            <w:tcW w:w="0" w:type="auto"/>
            <w:vMerge/>
            <w:tcBorders>
              <w:top w:val="nil"/>
              <w:left w:val="single" w:sz="4" w:space="0" w:color="auto"/>
              <w:bottom w:val="single" w:sz="4" w:space="0" w:color="000000"/>
              <w:right w:val="single" w:sz="4" w:space="0" w:color="auto"/>
            </w:tcBorders>
            <w:vAlign w:val="center"/>
            <w:hideMark/>
          </w:tcPr>
          <w:p w:rsidR="00497640" w:rsidRPr="00FA5850" w:rsidRDefault="00497640" w:rsidP="00FA5850">
            <w:pPr>
              <w:spacing w:after="0" w:line="240" w:lineRule="auto"/>
              <w:rPr>
                <w:rFonts w:cs="Calibri"/>
                <w:color w:val="000000"/>
              </w:rPr>
            </w:pPr>
          </w:p>
        </w:tc>
        <w:tc>
          <w:tcPr>
            <w:tcW w:w="0" w:type="auto"/>
            <w:tcBorders>
              <w:top w:val="dotted" w:sz="4" w:space="0" w:color="auto"/>
              <w:left w:val="nil"/>
              <w:bottom w:val="nil"/>
              <w:right w:val="single" w:sz="4" w:space="0" w:color="auto"/>
            </w:tcBorders>
            <w:vAlign w:val="center"/>
            <w:hideMark/>
          </w:tcPr>
          <w:p w:rsidR="00497640" w:rsidRPr="00D36FA5" w:rsidRDefault="00497640" w:rsidP="007C7C15">
            <w:pPr>
              <w:pStyle w:val="ListParagraph"/>
              <w:numPr>
                <w:ilvl w:val="0"/>
                <w:numId w:val="21"/>
              </w:numPr>
              <w:spacing w:after="0" w:line="240" w:lineRule="auto"/>
              <w:ind w:left="360"/>
              <w:rPr>
                <w:rFonts w:cs="Calibri"/>
                <w:color w:val="000000"/>
              </w:rPr>
            </w:pPr>
            <w:r w:rsidRPr="00D36FA5">
              <w:rPr>
                <w:rFonts w:cs="Calibri"/>
                <w:color w:val="000000"/>
              </w:rPr>
              <w:t>Renovate Linkage &amp; other components</w:t>
            </w:r>
          </w:p>
        </w:tc>
        <w:tc>
          <w:tcPr>
            <w:tcW w:w="0" w:type="auto"/>
            <w:tcBorders>
              <w:top w:val="dotted" w:sz="4" w:space="0" w:color="auto"/>
              <w:left w:val="nil"/>
              <w:bottom w:val="nil"/>
              <w:right w:val="single" w:sz="4" w:space="0" w:color="auto"/>
            </w:tcBorders>
            <w:noWrap/>
            <w:vAlign w:val="bottom"/>
          </w:tcPr>
          <w:p w:rsidR="00497640" w:rsidRPr="00FA5850" w:rsidRDefault="00497640" w:rsidP="00020040">
            <w:pPr>
              <w:spacing w:after="0" w:line="240" w:lineRule="auto"/>
              <w:jc w:val="center"/>
              <w:rPr>
                <w:rFonts w:cs="Calibri"/>
                <w:color w:val="000000"/>
              </w:rPr>
            </w:pPr>
          </w:p>
        </w:tc>
      </w:tr>
      <w:tr w:rsidR="00691C07" w:rsidRPr="00FA5850" w:rsidTr="00B12430">
        <w:trPr>
          <w:cantSplit/>
          <w:trHeight w:val="20"/>
          <w:jc w:val="center"/>
        </w:trPr>
        <w:tc>
          <w:tcPr>
            <w:tcW w:w="0" w:type="auto"/>
            <w:vMerge/>
            <w:tcBorders>
              <w:top w:val="nil"/>
              <w:left w:val="single" w:sz="4" w:space="0" w:color="auto"/>
              <w:bottom w:val="single" w:sz="4" w:space="0" w:color="000000"/>
              <w:right w:val="single" w:sz="4" w:space="0" w:color="auto"/>
            </w:tcBorders>
            <w:vAlign w:val="center"/>
            <w:hideMark/>
          </w:tcPr>
          <w:p w:rsidR="00691C07" w:rsidRPr="00FA5850" w:rsidRDefault="00691C07" w:rsidP="00FA5850">
            <w:pPr>
              <w:spacing w:after="0" w:line="240" w:lineRule="auto"/>
              <w:rPr>
                <w:rFonts w:cs="Calibri"/>
                <w:color w:val="000000"/>
              </w:rPr>
            </w:pPr>
          </w:p>
        </w:tc>
        <w:tc>
          <w:tcPr>
            <w:tcW w:w="0" w:type="auto"/>
            <w:tcBorders>
              <w:top w:val="nil"/>
              <w:left w:val="nil"/>
              <w:bottom w:val="nil"/>
              <w:right w:val="single" w:sz="4" w:space="0" w:color="auto"/>
            </w:tcBorders>
            <w:noWrap/>
            <w:vAlign w:val="center"/>
            <w:hideMark/>
          </w:tcPr>
          <w:p w:rsidR="00691C07" w:rsidRPr="00D36FA5" w:rsidRDefault="00691C07" w:rsidP="007C7C15">
            <w:pPr>
              <w:pStyle w:val="ListParagraph"/>
              <w:numPr>
                <w:ilvl w:val="0"/>
                <w:numId w:val="21"/>
              </w:numPr>
              <w:spacing w:after="0" w:line="240" w:lineRule="auto"/>
              <w:ind w:left="360"/>
              <w:rPr>
                <w:rFonts w:cs="Calibri"/>
                <w:color w:val="000000"/>
              </w:rPr>
            </w:pPr>
            <w:r w:rsidRPr="00D36FA5">
              <w:rPr>
                <w:rFonts w:cs="Calibri"/>
                <w:color w:val="000000"/>
              </w:rPr>
              <w:t>Functional Economizer Test</w:t>
            </w:r>
          </w:p>
        </w:tc>
        <w:tc>
          <w:tcPr>
            <w:tcW w:w="0" w:type="auto"/>
            <w:tcBorders>
              <w:top w:val="nil"/>
              <w:left w:val="nil"/>
              <w:bottom w:val="nil"/>
              <w:right w:val="single" w:sz="4" w:space="0" w:color="auto"/>
            </w:tcBorders>
            <w:noWrap/>
            <w:vAlign w:val="bottom"/>
            <w:hideMark/>
          </w:tcPr>
          <w:p w:rsidR="00691C07" w:rsidRPr="00FA5850" w:rsidRDefault="00691C07" w:rsidP="001635D4">
            <w:pPr>
              <w:spacing w:after="0" w:line="240" w:lineRule="auto"/>
              <w:jc w:val="center"/>
              <w:rPr>
                <w:rFonts w:cs="Calibri"/>
                <w:color w:val="000000"/>
              </w:rPr>
            </w:pPr>
            <w:r w:rsidRPr="00FA5850">
              <w:rPr>
                <w:rFonts w:cs="Calibri"/>
                <w:color w:val="000000"/>
              </w:rPr>
              <w:t>PGE3PHVC151</w:t>
            </w:r>
          </w:p>
        </w:tc>
      </w:tr>
      <w:tr w:rsidR="00691C07" w:rsidRPr="00FA5850" w:rsidTr="00B12430">
        <w:trPr>
          <w:cantSplit/>
          <w:trHeight w:val="20"/>
          <w:jc w:val="center"/>
        </w:trPr>
        <w:tc>
          <w:tcPr>
            <w:tcW w:w="0" w:type="auto"/>
            <w:vMerge/>
            <w:tcBorders>
              <w:top w:val="nil"/>
              <w:left w:val="single" w:sz="4" w:space="0" w:color="auto"/>
              <w:bottom w:val="single" w:sz="4" w:space="0" w:color="000000"/>
              <w:right w:val="single" w:sz="4" w:space="0" w:color="auto"/>
            </w:tcBorders>
            <w:vAlign w:val="center"/>
            <w:hideMark/>
          </w:tcPr>
          <w:p w:rsidR="00691C07" w:rsidRPr="00FA5850" w:rsidRDefault="00691C07" w:rsidP="00FA5850">
            <w:pPr>
              <w:spacing w:after="0" w:line="240" w:lineRule="auto"/>
              <w:rPr>
                <w:rFonts w:cs="Calibri"/>
                <w:color w:val="000000"/>
              </w:rPr>
            </w:pPr>
          </w:p>
        </w:tc>
        <w:tc>
          <w:tcPr>
            <w:tcW w:w="0" w:type="auto"/>
            <w:tcBorders>
              <w:top w:val="nil"/>
              <w:left w:val="nil"/>
              <w:bottom w:val="nil"/>
              <w:right w:val="single" w:sz="4" w:space="0" w:color="auto"/>
            </w:tcBorders>
            <w:noWrap/>
            <w:vAlign w:val="center"/>
            <w:hideMark/>
          </w:tcPr>
          <w:p w:rsidR="00691C07" w:rsidRPr="00D36FA5" w:rsidRDefault="00691C07" w:rsidP="007C7C15">
            <w:pPr>
              <w:pStyle w:val="ListParagraph"/>
              <w:numPr>
                <w:ilvl w:val="0"/>
                <w:numId w:val="21"/>
              </w:numPr>
              <w:spacing w:after="0" w:line="240" w:lineRule="auto"/>
              <w:ind w:left="360"/>
              <w:rPr>
                <w:rFonts w:cs="Calibri"/>
                <w:color w:val="000000"/>
              </w:rPr>
            </w:pPr>
            <w:r w:rsidRPr="00D36FA5">
              <w:rPr>
                <w:rFonts w:cs="Calibri"/>
                <w:color w:val="000000"/>
              </w:rPr>
              <w:t>Economizer Control Package</w:t>
            </w:r>
          </w:p>
        </w:tc>
        <w:tc>
          <w:tcPr>
            <w:tcW w:w="0" w:type="auto"/>
            <w:tcBorders>
              <w:top w:val="nil"/>
              <w:left w:val="nil"/>
              <w:bottom w:val="nil"/>
              <w:right w:val="single" w:sz="4" w:space="0" w:color="auto"/>
            </w:tcBorders>
            <w:noWrap/>
            <w:vAlign w:val="bottom"/>
            <w:hideMark/>
          </w:tcPr>
          <w:p w:rsidR="00691C07" w:rsidRPr="00FA5850" w:rsidRDefault="00691C07" w:rsidP="001635D4">
            <w:pPr>
              <w:spacing w:after="0" w:line="240" w:lineRule="auto"/>
              <w:jc w:val="center"/>
              <w:rPr>
                <w:rFonts w:cs="Calibri"/>
                <w:color w:val="000000"/>
              </w:rPr>
            </w:pPr>
            <w:r w:rsidRPr="00FA5850">
              <w:rPr>
                <w:rFonts w:cs="Calibri"/>
                <w:color w:val="000000"/>
              </w:rPr>
              <w:t>PGE3PHVC152</w:t>
            </w:r>
          </w:p>
        </w:tc>
      </w:tr>
      <w:tr w:rsidR="00FA5850" w:rsidRPr="00FA5850" w:rsidTr="00B12430">
        <w:trPr>
          <w:cantSplit/>
          <w:trHeight w:val="20"/>
          <w:jc w:val="center"/>
        </w:trPr>
        <w:tc>
          <w:tcPr>
            <w:tcW w:w="0" w:type="auto"/>
            <w:vMerge/>
            <w:tcBorders>
              <w:top w:val="nil"/>
              <w:left w:val="single" w:sz="4" w:space="0" w:color="auto"/>
              <w:bottom w:val="single" w:sz="4" w:space="0" w:color="000000"/>
              <w:right w:val="single" w:sz="4" w:space="0" w:color="auto"/>
            </w:tcBorders>
            <w:vAlign w:val="center"/>
            <w:hideMark/>
          </w:tcPr>
          <w:p w:rsidR="00FA5850" w:rsidRPr="00FA5850" w:rsidRDefault="00FA5850" w:rsidP="00FA5850">
            <w:pPr>
              <w:spacing w:after="0" w:line="240" w:lineRule="auto"/>
              <w:rPr>
                <w:rFonts w:cs="Calibri"/>
                <w:color w:val="000000"/>
              </w:rPr>
            </w:pPr>
          </w:p>
        </w:tc>
        <w:tc>
          <w:tcPr>
            <w:tcW w:w="0" w:type="auto"/>
            <w:tcBorders>
              <w:top w:val="nil"/>
              <w:left w:val="nil"/>
              <w:bottom w:val="single" w:sz="4" w:space="0" w:color="auto"/>
              <w:right w:val="single" w:sz="4" w:space="0" w:color="auto"/>
            </w:tcBorders>
            <w:noWrap/>
            <w:vAlign w:val="center"/>
            <w:hideMark/>
          </w:tcPr>
          <w:p w:rsidR="00FA5850" w:rsidRPr="00D36FA5" w:rsidRDefault="00FA5850" w:rsidP="007C7C15">
            <w:pPr>
              <w:pStyle w:val="ListParagraph"/>
              <w:numPr>
                <w:ilvl w:val="0"/>
                <w:numId w:val="21"/>
              </w:numPr>
              <w:spacing w:after="0" w:line="240" w:lineRule="auto"/>
              <w:ind w:left="360"/>
              <w:rPr>
                <w:rFonts w:cs="Calibri"/>
                <w:color w:val="000000"/>
              </w:rPr>
            </w:pPr>
            <w:r w:rsidRPr="00D36FA5">
              <w:rPr>
                <w:rFonts w:cs="Calibri"/>
                <w:color w:val="000000"/>
              </w:rPr>
              <w:t>Economizer Adjustment</w:t>
            </w:r>
          </w:p>
        </w:tc>
        <w:tc>
          <w:tcPr>
            <w:tcW w:w="0" w:type="auto"/>
            <w:tcBorders>
              <w:top w:val="nil"/>
              <w:left w:val="nil"/>
              <w:bottom w:val="single" w:sz="4" w:space="0" w:color="auto"/>
              <w:right w:val="single" w:sz="4" w:space="0" w:color="auto"/>
            </w:tcBorders>
            <w:noWrap/>
            <w:vAlign w:val="bottom"/>
            <w:hideMark/>
          </w:tcPr>
          <w:p w:rsidR="00FA5850" w:rsidRPr="00FA5850" w:rsidRDefault="00FA5850" w:rsidP="00FA5850">
            <w:pPr>
              <w:spacing w:after="0" w:line="240" w:lineRule="auto"/>
              <w:jc w:val="center"/>
              <w:rPr>
                <w:rFonts w:cs="Calibri"/>
                <w:color w:val="000000"/>
              </w:rPr>
            </w:pPr>
            <w:r w:rsidRPr="00FA5850">
              <w:rPr>
                <w:rFonts w:cs="Calibri"/>
                <w:color w:val="000000"/>
              </w:rPr>
              <w:t> </w:t>
            </w:r>
          </w:p>
        </w:tc>
      </w:tr>
      <w:tr w:rsidR="00691C07" w:rsidRPr="00FA5850" w:rsidTr="00F44673">
        <w:trPr>
          <w:cantSplit/>
          <w:trHeight w:val="20"/>
          <w:jc w:val="center"/>
        </w:trPr>
        <w:tc>
          <w:tcPr>
            <w:tcW w:w="0" w:type="auto"/>
            <w:vMerge w:val="restart"/>
            <w:tcBorders>
              <w:top w:val="nil"/>
              <w:left w:val="single" w:sz="4" w:space="0" w:color="auto"/>
              <w:right w:val="single" w:sz="4" w:space="0" w:color="auto"/>
            </w:tcBorders>
            <w:vAlign w:val="center"/>
            <w:hideMark/>
          </w:tcPr>
          <w:p w:rsidR="00691C07" w:rsidRPr="00FA5850" w:rsidRDefault="00691C07" w:rsidP="00FA5850">
            <w:pPr>
              <w:spacing w:after="0" w:line="240" w:lineRule="auto"/>
              <w:jc w:val="center"/>
              <w:rPr>
                <w:rFonts w:cs="Calibri"/>
                <w:color w:val="000000"/>
              </w:rPr>
            </w:pPr>
            <w:r w:rsidRPr="00FA5850">
              <w:rPr>
                <w:rFonts w:cs="Calibri"/>
                <w:color w:val="000000"/>
              </w:rPr>
              <w:t>Thermostat Replacement</w:t>
            </w:r>
            <w:r>
              <w:rPr>
                <w:rFonts w:cs="Calibri"/>
                <w:color w:val="000000"/>
              </w:rPr>
              <w:t xml:space="preserve"> and Reprogramming</w:t>
            </w:r>
          </w:p>
        </w:tc>
        <w:tc>
          <w:tcPr>
            <w:tcW w:w="0" w:type="auto"/>
            <w:tcBorders>
              <w:top w:val="nil"/>
              <w:left w:val="nil"/>
              <w:bottom w:val="nil"/>
              <w:right w:val="single" w:sz="4" w:space="0" w:color="auto"/>
            </w:tcBorders>
            <w:noWrap/>
            <w:vAlign w:val="center"/>
            <w:hideMark/>
          </w:tcPr>
          <w:p w:rsidR="00691C07" w:rsidRPr="007C7C15" w:rsidRDefault="00691C07" w:rsidP="007C7C15">
            <w:pPr>
              <w:pStyle w:val="ListParagraph"/>
              <w:numPr>
                <w:ilvl w:val="0"/>
                <w:numId w:val="21"/>
              </w:numPr>
              <w:spacing w:after="0" w:line="240" w:lineRule="auto"/>
              <w:ind w:left="360"/>
              <w:rPr>
                <w:rFonts w:cs="Calibri"/>
                <w:color w:val="000000"/>
              </w:rPr>
            </w:pPr>
            <w:r w:rsidRPr="007C7C15">
              <w:rPr>
                <w:rFonts w:cs="Calibri"/>
                <w:color w:val="000000"/>
              </w:rPr>
              <w:t>Replace T-stat</w:t>
            </w:r>
          </w:p>
        </w:tc>
        <w:tc>
          <w:tcPr>
            <w:tcW w:w="0" w:type="auto"/>
            <w:tcBorders>
              <w:top w:val="nil"/>
              <w:left w:val="nil"/>
              <w:bottom w:val="nil"/>
              <w:right w:val="single" w:sz="4" w:space="0" w:color="auto"/>
            </w:tcBorders>
            <w:noWrap/>
            <w:vAlign w:val="bottom"/>
            <w:hideMark/>
          </w:tcPr>
          <w:p w:rsidR="00691C07" w:rsidRPr="00FA5850" w:rsidRDefault="00691C07" w:rsidP="00020040">
            <w:pPr>
              <w:spacing w:after="0" w:line="240" w:lineRule="auto"/>
              <w:jc w:val="center"/>
              <w:rPr>
                <w:rFonts w:cs="Calibri"/>
                <w:color w:val="000000"/>
              </w:rPr>
            </w:pPr>
            <w:r w:rsidRPr="00FA5850">
              <w:rPr>
                <w:rFonts w:cs="Calibri"/>
                <w:color w:val="000000"/>
              </w:rPr>
              <w:t>SCE13HC037</w:t>
            </w:r>
          </w:p>
        </w:tc>
      </w:tr>
      <w:tr w:rsidR="00691C07" w:rsidRPr="00FA5850" w:rsidTr="00691C07">
        <w:trPr>
          <w:cantSplit/>
          <w:trHeight w:val="20"/>
          <w:jc w:val="center"/>
        </w:trPr>
        <w:tc>
          <w:tcPr>
            <w:tcW w:w="0" w:type="auto"/>
            <w:vMerge/>
            <w:tcBorders>
              <w:left w:val="single" w:sz="4" w:space="0" w:color="auto"/>
              <w:right w:val="single" w:sz="4" w:space="0" w:color="auto"/>
            </w:tcBorders>
            <w:vAlign w:val="center"/>
            <w:hideMark/>
          </w:tcPr>
          <w:p w:rsidR="00691C07" w:rsidRPr="00FA5850" w:rsidRDefault="00691C07" w:rsidP="00FA5850">
            <w:pPr>
              <w:spacing w:after="0" w:line="240" w:lineRule="auto"/>
              <w:rPr>
                <w:rFonts w:cs="Calibri"/>
                <w:color w:val="000000"/>
              </w:rPr>
            </w:pPr>
          </w:p>
        </w:tc>
        <w:tc>
          <w:tcPr>
            <w:tcW w:w="0" w:type="auto"/>
            <w:tcBorders>
              <w:top w:val="nil"/>
              <w:left w:val="nil"/>
              <w:bottom w:val="nil"/>
              <w:right w:val="single" w:sz="4" w:space="0" w:color="auto"/>
            </w:tcBorders>
            <w:noWrap/>
            <w:vAlign w:val="center"/>
            <w:hideMark/>
          </w:tcPr>
          <w:p w:rsidR="00691C07" w:rsidRPr="007C7C15" w:rsidRDefault="00691C07" w:rsidP="007C7C15">
            <w:pPr>
              <w:pStyle w:val="ListParagraph"/>
              <w:numPr>
                <w:ilvl w:val="0"/>
                <w:numId w:val="21"/>
              </w:numPr>
              <w:spacing w:after="0" w:line="240" w:lineRule="auto"/>
              <w:ind w:left="360"/>
              <w:rPr>
                <w:rFonts w:cs="Calibri"/>
                <w:color w:val="000000"/>
              </w:rPr>
            </w:pPr>
            <w:r w:rsidRPr="007C7C15">
              <w:rPr>
                <w:rFonts w:cs="Calibri"/>
                <w:color w:val="000000"/>
              </w:rPr>
              <w:t>Adjust T-stat schedule</w:t>
            </w:r>
          </w:p>
        </w:tc>
        <w:tc>
          <w:tcPr>
            <w:tcW w:w="0" w:type="auto"/>
            <w:tcBorders>
              <w:top w:val="nil"/>
              <w:left w:val="nil"/>
              <w:bottom w:val="nil"/>
              <w:right w:val="single" w:sz="4" w:space="0" w:color="auto"/>
            </w:tcBorders>
            <w:noWrap/>
            <w:vAlign w:val="bottom"/>
          </w:tcPr>
          <w:p w:rsidR="00691C07" w:rsidRPr="00FA5850" w:rsidRDefault="00691C07" w:rsidP="00020040">
            <w:pPr>
              <w:spacing w:after="0" w:line="240" w:lineRule="auto"/>
              <w:jc w:val="center"/>
              <w:rPr>
                <w:rFonts w:cs="Calibri"/>
                <w:color w:val="000000"/>
              </w:rPr>
            </w:pPr>
            <w:r w:rsidRPr="00FA5850">
              <w:rPr>
                <w:rFonts w:cs="Calibri"/>
                <w:color w:val="000000"/>
              </w:rPr>
              <w:t>PGECOHVC138</w:t>
            </w:r>
          </w:p>
        </w:tc>
      </w:tr>
      <w:tr w:rsidR="00691C07" w:rsidRPr="00FA5850" w:rsidTr="00691C07">
        <w:trPr>
          <w:cantSplit/>
          <w:trHeight w:val="20"/>
          <w:jc w:val="center"/>
        </w:trPr>
        <w:tc>
          <w:tcPr>
            <w:tcW w:w="0" w:type="auto"/>
            <w:vMerge/>
            <w:tcBorders>
              <w:left w:val="single" w:sz="4" w:space="0" w:color="auto"/>
              <w:right w:val="single" w:sz="4" w:space="0" w:color="auto"/>
            </w:tcBorders>
            <w:vAlign w:val="center"/>
            <w:hideMark/>
          </w:tcPr>
          <w:p w:rsidR="00691C07" w:rsidRPr="00FA5850" w:rsidRDefault="00691C07" w:rsidP="00FA5850">
            <w:pPr>
              <w:spacing w:after="0" w:line="240" w:lineRule="auto"/>
              <w:rPr>
                <w:rFonts w:cs="Calibri"/>
                <w:color w:val="000000"/>
              </w:rPr>
            </w:pPr>
          </w:p>
        </w:tc>
        <w:tc>
          <w:tcPr>
            <w:tcW w:w="0" w:type="auto"/>
            <w:tcBorders>
              <w:top w:val="nil"/>
              <w:left w:val="nil"/>
              <w:bottom w:val="nil"/>
              <w:right w:val="single" w:sz="4" w:space="0" w:color="auto"/>
            </w:tcBorders>
            <w:noWrap/>
            <w:vAlign w:val="bottom"/>
            <w:hideMark/>
          </w:tcPr>
          <w:p w:rsidR="00691C07" w:rsidRPr="00FA5850" w:rsidRDefault="00691C07" w:rsidP="00FA5850">
            <w:pPr>
              <w:spacing w:after="0" w:line="240" w:lineRule="auto"/>
              <w:rPr>
                <w:rFonts w:cs="Calibri"/>
                <w:color w:val="000000"/>
              </w:rPr>
            </w:pPr>
            <w:r w:rsidRPr="00FA5850">
              <w:rPr>
                <w:rFonts w:cs="Calibri"/>
                <w:color w:val="000000"/>
              </w:rPr>
              <w:t> </w:t>
            </w:r>
          </w:p>
        </w:tc>
        <w:tc>
          <w:tcPr>
            <w:tcW w:w="0" w:type="auto"/>
            <w:tcBorders>
              <w:top w:val="nil"/>
              <w:left w:val="nil"/>
              <w:bottom w:val="nil"/>
              <w:right w:val="single" w:sz="4" w:space="0" w:color="auto"/>
            </w:tcBorders>
            <w:noWrap/>
            <w:vAlign w:val="bottom"/>
          </w:tcPr>
          <w:p w:rsidR="00691C07" w:rsidRPr="00FA5850" w:rsidRDefault="00691C07" w:rsidP="00020040">
            <w:pPr>
              <w:spacing w:after="0" w:line="240" w:lineRule="auto"/>
              <w:jc w:val="center"/>
              <w:rPr>
                <w:rFonts w:cs="Calibri"/>
                <w:color w:val="000000"/>
              </w:rPr>
            </w:pPr>
            <w:r w:rsidRPr="00FA5850">
              <w:rPr>
                <w:rFonts w:cs="Calibri"/>
                <w:color w:val="000000"/>
              </w:rPr>
              <w:t>PGE3PHVC153</w:t>
            </w:r>
          </w:p>
        </w:tc>
      </w:tr>
      <w:tr w:rsidR="00691C07" w:rsidRPr="00FA5850" w:rsidTr="00691C07">
        <w:trPr>
          <w:cantSplit/>
          <w:trHeight w:val="20"/>
          <w:jc w:val="center"/>
        </w:trPr>
        <w:tc>
          <w:tcPr>
            <w:tcW w:w="0" w:type="auto"/>
            <w:vMerge/>
            <w:tcBorders>
              <w:left w:val="single" w:sz="4" w:space="0" w:color="auto"/>
              <w:bottom w:val="single" w:sz="4" w:space="0" w:color="auto"/>
              <w:right w:val="single" w:sz="4" w:space="0" w:color="auto"/>
            </w:tcBorders>
            <w:vAlign w:val="center"/>
            <w:hideMark/>
          </w:tcPr>
          <w:p w:rsidR="00691C07" w:rsidRPr="00FA5850" w:rsidRDefault="00691C07" w:rsidP="00FA5850">
            <w:pPr>
              <w:spacing w:after="0" w:line="240" w:lineRule="auto"/>
              <w:rPr>
                <w:rFonts w:cs="Calibri"/>
                <w:color w:val="000000"/>
              </w:rPr>
            </w:pPr>
          </w:p>
        </w:tc>
        <w:tc>
          <w:tcPr>
            <w:tcW w:w="0" w:type="auto"/>
            <w:tcBorders>
              <w:top w:val="nil"/>
              <w:left w:val="nil"/>
              <w:bottom w:val="single" w:sz="4" w:space="0" w:color="auto"/>
              <w:right w:val="single" w:sz="4" w:space="0" w:color="auto"/>
            </w:tcBorders>
            <w:noWrap/>
            <w:vAlign w:val="bottom"/>
            <w:hideMark/>
          </w:tcPr>
          <w:p w:rsidR="00691C07" w:rsidRPr="00FA5850" w:rsidRDefault="00691C07" w:rsidP="00FA5850">
            <w:pPr>
              <w:spacing w:after="0" w:line="240" w:lineRule="auto"/>
              <w:rPr>
                <w:rFonts w:cs="Calibri"/>
                <w:color w:val="000000"/>
              </w:rPr>
            </w:pPr>
            <w:r w:rsidRPr="00FA5850">
              <w:rPr>
                <w:rFonts w:cs="Calibri"/>
                <w:color w:val="000000"/>
              </w:rPr>
              <w:t> </w:t>
            </w:r>
          </w:p>
        </w:tc>
        <w:tc>
          <w:tcPr>
            <w:tcW w:w="0" w:type="auto"/>
            <w:tcBorders>
              <w:top w:val="nil"/>
              <w:left w:val="nil"/>
              <w:bottom w:val="single" w:sz="4" w:space="0" w:color="auto"/>
              <w:right w:val="single" w:sz="4" w:space="0" w:color="auto"/>
            </w:tcBorders>
            <w:noWrap/>
            <w:vAlign w:val="bottom"/>
          </w:tcPr>
          <w:p w:rsidR="00691C07" w:rsidRPr="00FA5850" w:rsidRDefault="00691C07" w:rsidP="001635D4">
            <w:pPr>
              <w:spacing w:after="0" w:line="240" w:lineRule="auto"/>
              <w:jc w:val="center"/>
              <w:rPr>
                <w:rFonts w:cs="Calibri"/>
                <w:color w:val="000000"/>
              </w:rPr>
            </w:pPr>
            <w:r w:rsidRPr="00FA5850">
              <w:rPr>
                <w:rFonts w:cs="Calibri"/>
                <w:color w:val="000000"/>
              </w:rPr>
              <w:t>PGE3PHVC157</w:t>
            </w:r>
          </w:p>
        </w:tc>
      </w:tr>
    </w:tbl>
    <w:p w:rsidR="00E554EE" w:rsidRDefault="00E554EE" w:rsidP="004569E9">
      <w:pPr>
        <w:ind w:left="720"/>
      </w:pPr>
    </w:p>
    <w:p w:rsidR="00DF2BCE" w:rsidRDefault="00CD0872" w:rsidP="00E64FBA">
      <w:pPr>
        <w:pStyle w:val="ListParagraph"/>
        <w:numPr>
          <w:ilvl w:val="0"/>
          <w:numId w:val="3"/>
        </w:numPr>
      </w:pPr>
      <w:r>
        <w:rPr>
          <w:u w:val="single"/>
        </w:rPr>
        <w:t xml:space="preserve">Revise All UES Values to Use the </w:t>
      </w:r>
      <w:r w:rsidR="00A560DA">
        <w:rPr>
          <w:u w:val="single"/>
        </w:rPr>
        <w:t>Staff</w:t>
      </w:r>
      <w:r w:rsidR="00C42DC7">
        <w:rPr>
          <w:u w:val="single"/>
        </w:rPr>
        <w:t xml:space="preserve"> Recommended</w:t>
      </w:r>
      <w:r>
        <w:rPr>
          <w:u w:val="single"/>
        </w:rPr>
        <w:t xml:space="preserve"> </w:t>
      </w:r>
      <w:r w:rsidR="00497640">
        <w:rPr>
          <w:u w:val="single"/>
        </w:rPr>
        <w:t>Values</w:t>
      </w:r>
      <w:r>
        <w:rPr>
          <w:u w:val="single"/>
        </w:rPr>
        <w:t>:</w:t>
      </w:r>
      <w:r w:rsidR="00EB52F9">
        <w:t xml:space="preserve"> UES values shall be </w:t>
      </w:r>
      <w:r w:rsidR="00497640">
        <w:t>obtained from</w:t>
      </w:r>
      <w:r w:rsidR="00EB52F9">
        <w:t xml:space="preserve"> the </w:t>
      </w:r>
      <w:r w:rsidR="00A1122F">
        <w:t>attached work</w:t>
      </w:r>
      <w:r w:rsidR="00DF2BCE">
        <w:t xml:space="preserve">book - </w:t>
      </w:r>
      <w:r w:rsidR="00E64FBA" w:rsidRPr="00E64FBA">
        <w:rPr>
          <w:i/>
        </w:rPr>
        <w:t>20132014-CommercialHVACMaintenance-SavingsValues-</w:t>
      </w:r>
      <w:r w:rsidR="00DC3592">
        <w:rPr>
          <w:i/>
        </w:rPr>
        <w:t>April2013-v1-2</w:t>
      </w:r>
      <w:r w:rsidR="00E64FBA" w:rsidRPr="00E64FBA">
        <w:rPr>
          <w:i/>
        </w:rPr>
        <w:t>.xlsx</w:t>
      </w:r>
      <w:r w:rsidR="00EB52F9">
        <w:t>.</w:t>
      </w:r>
      <w:r w:rsidR="00DF2BCE">
        <w:t xml:space="preserve"> </w:t>
      </w:r>
    </w:p>
    <w:p w:rsidR="00E6704F" w:rsidRDefault="00A560DA" w:rsidP="00DF2BCE">
      <w:pPr>
        <w:ind w:left="720"/>
      </w:pPr>
      <w:r>
        <w:t>Commission staff</w:t>
      </w:r>
      <w:r w:rsidR="00EB52F9">
        <w:t xml:space="preserve"> has developed these </w:t>
      </w:r>
      <w:r w:rsidR="00DF2BCE">
        <w:t xml:space="preserve">revised treatment </w:t>
      </w:r>
      <w:r w:rsidR="00EB52F9">
        <w:t xml:space="preserve">values considering </w:t>
      </w:r>
      <w:r w:rsidR="00E6704F">
        <w:t>the following:</w:t>
      </w:r>
    </w:p>
    <w:p w:rsidR="000D04A0" w:rsidRDefault="00E6704F" w:rsidP="00E6704F">
      <w:pPr>
        <w:pStyle w:val="ListParagraph"/>
        <w:numPr>
          <w:ilvl w:val="1"/>
          <w:numId w:val="3"/>
        </w:numPr>
      </w:pPr>
      <w:r w:rsidRPr="00E6704F">
        <w:t xml:space="preserve">Projected </w:t>
      </w:r>
      <w:r>
        <w:t xml:space="preserve">savings for many of the components </w:t>
      </w:r>
      <w:r w:rsidR="00497640">
        <w:t>o</w:t>
      </w:r>
      <w:r w:rsidR="00A1122F">
        <w:t>f</w:t>
      </w:r>
      <w:r>
        <w:t xml:space="preserve"> the Quality Maintenance programs remain </w:t>
      </w:r>
      <w:r w:rsidR="002A422E">
        <w:t>difficult to obtain</w:t>
      </w:r>
      <w:r>
        <w:t xml:space="preserve">, requiring skilled maintenance </w:t>
      </w:r>
      <w:r w:rsidR="00E36C97">
        <w:t>technicians</w:t>
      </w:r>
      <w:r>
        <w:t xml:space="preserve"> to realize anticipated program benefits.  The use of incorrect maintenance techniques</w:t>
      </w:r>
      <w:r w:rsidR="00E522EC">
        <w:t>, test and repair equipment,</w:t>
      </w:r>
      <w:r>
        <w:t xml:space="preserve"> and procedures </w:t>
      </w:r>
      <w:r w:rsidR="00E522EC">
        <w:t xml:space="preserve">can </w:t>
      </w:r>
      <w:r w:rsidR="002A422E">
        <w:t xml:space="preserve">result in a decrease in cooling system efficiency and/or increase in system operation – both generating negative energy savings.  </w:t>
      </w:r>
      <w:r w:rsidR="00BF342A">
        <w:t>These are not only undesired result</w:t>
      </w:r>
      <w:r w:rsidR="008704A4">
        <w:t>s</w:t>
      </w:r>
      <w:r w:rsidR="00BF342A">
        <w:t>, but act to</w:t>
      </w:r>
      <w:r>
        <w:t xml:space="preserve"> offset benefits obtained at properly maintained sites.</w:t>
      </w:r>
    </w:p>
    <w:p w:rsidR="00E6704F" w:rsidRDefault="00E64FBA" w:rsidP="00E6704F">
      <w:pPr>
        <w:pStyle w:val="ListParagraph"/>
        <w:numPr>
          <w:ilvl w:val="1"/>
          <w:numId w:val="3"/>
        </w:numPr>
      </w:pPr>
      <w:r>
        <w:t xml:space="preserve">The original disposition, issued for SCE’s 2010-2012 workpaper, requested additional data collection to support the proposed “as-found” conditions. This data collection </w:t>
      </w:r>
      <w:r w:rsidR="008704A4">
        <w:t>h</w:t>
      </w:r>
      <w:r>
        <w:t>as not been completed as of the date of this disposition</w:t>
      </w:r>
      <w:r w:rsidR="00E6704F">
        <w:t>.</w:t>
      </w:r>
      <w:r w:rsidR="00A1122F">
        <w:t xml:space="preserve"> Preliminary submittal of QM</w:t>
      </w:r>
      <w:r w:rsidR="00E522EC">
        <w:t xml:space="preserve"> </w:t>
      </w:r>
      <w:r w:rsidR="00E6704F">
        <w:t xml:space="preserve">program data </w:t>
      </w:r>
      <w:r w:rsidR="00E522EC">
        <w:t xml:space="preserve">and an initial program evaluation suggests assumed baseline conditions in </w:t>
      </w:r>
      <w:r w:rsidR="00E522EC">
        <w:lastRenderedPageBreak/>
        <w:t>the current workpaper</w:t>
      </w:r>
      <w:r w:rsidR="00A1122F">
        <w:t>s</w:t>
      </w:r>
      <w:r w:rsidR="00E522EC">
        <w:t xml:space="preserve"> are unrealistically pessimistic in </w:t>
      </w:r>
      <w:r>
        <w:t xml:space="preserve">both </w:t>
      </w:r>
      <w:r w:rsidR="00E522EC">
        <w:t xml:space="preserve">the relative occurrence of maintenance items and </w:t>
      </w:r>
      <w:r>
        <w:t xml:space="preserve">as well as </w:t>
      </w:r>
      <w:r w:rsidR="00E522EC">
        <w:t>their assumed “as found” set of conditions</w:t>
      </w:r>
      <w:r>
        <w:t xml:space="preserve"> when found</w:t>
      </w:r>
      <w:r w:rsidR="00E522EC">
        <w:t xml:space="preserve">.  </w:t>
      </w:r>
    </w:p>
    <w:p w:rsidR="00E64FBA" w:rsidRDefault="00E64FBA" w:rsidP="00E64FBA">
      <w:pPr>
        <w:pStyle w:val="ListParagraph"/>
        <w:numPr>
          <w:ilvl w:val="1"/>
          <w:numId w:val="3"/>
        </w:numPr>
      </w:pPr>
      <w:r>
        <w:t>Energy savings</w:t>
      </w:r>
      <w:r w:rsidR="00A12A16">
        <w:t xml:space="preserve"> values sh</w:t>
      </w:r>
      <w:r>
        <w:t>all</w:t>
      </w:r>
      <w:r w:rsidR="00A12A16">
        <w:t xml:space="preserve"> be based on published DEER values where at all possible.</w:t>
      </w:r>
    </w:p>
    <w:p w:rsidR="004B5F0C" w:rsidRDefault="004A4FCD" w:rsidP="004B5F0C">
      <w:pPr>
        <w:pStyle w:val="ListParagraph"/>
        <w:numPr>
          <w:ilvl w:val="1"/>
          <w:numId w:val="3"/>
        </w:numPr>
      </w:pPr>
      <w:r>
        <w:t xml:space="preserve">Note that economizer decommissioning is </w:t>
      </w:r>
      <w:r w:rsidRPr="00112B06">
        <w:rPr>
          <w:b/>
          <w:i/>
        </w:rPr>
        <w:t>not</w:t>
      </w:r>
      <w:r>
        <w:t xml:space="preserve"> </w:t>
      </w:r>
      <w:r w:rsidRPr="00112B06">
        <w:t>an</w:t>
      </w:r>
      <w:r w:rsidR="004B5F0C">
        <w:t xml:space="preserve"> accepted measure.</w:t>
      </w:r>
    </w:p>
    <w:p w:rsidR="004B5F0C" w:rsidRDefault="005E3EE3" w:rsidP="002D6E86">
      <w:pPr>
        <w:pStyle w:val="ListParagraph"/>
        <w:numPr>
          <w:ilvl w:val="1"/>
          <w:numId w:val="3"/>
        </w:numPr>
        <w:spacing w:after="0"/>
      </w:pPr>
      <w:r>
        <w:t>No UES values are available for economizer and thermostat measures for SCG and SDG</w:t>
      </w:r>
      <w:r w:rsidR="008704A4">
        <w:t>&amp;E</w:t>
      </w:r>
      <w:r>
        <w:t>.  UES values are based on current values from submitted workpapers.  None have been submitted for SCG or SDG</w:t>
      </w:r>
      <w:r w:rsidR="008704A4">
        <w:t>&amp;E</w:t>
      </w:r>
      <w:r>
        <w:t xml:space="preserve"> at the time of this disposition.  Disposition values will be provided once covering workpapers are provided.</w:t>
      </w:r>
    </w:p>
    <w:p w:rsidR="004B5F0C" w:rsidRPr="004B5F0C" w:rsidRDefault="004B5F0C" w:rsidP="002D6E86">
      <w:pPr>
        <w:spacing w:after="0"/>
        <w:ind w:left="360"/>
      </w:pPr>
    </w:p>
    <w:p w:rsidR="006C3D24" w:rsidRPr="006C3D24" w:rsidRDefault="00CD0872" w:rsidP="006C3D24">
      <w:pPr>
        <w:pStyle w:val="ListParagraph"/>
        <w:numPr>
          <w:ilvl w:val="0"/>
          <w:numId w:val="3"/>
        </w:numPr>
        <w:spacing w:after="240"/>
        <w:contextualSpacing w:val="0"/>
      </w:pPr>
      <w:r>
        <w:rPr>
          <w:u w:val="single"/>
        </w:rPr>
        <w:t>I</w:t>
      </w:r>
      <w:r w:rsidR="00A30380">
        <w:rPr>
          <w:u w:val="single"/>
        </w:rPr>
        <w:t>OUs Shall Establish Consistent Savings Estimate Approach</w:t>
      </w:r>
      <w:r>
        <w:rPr>
          <w:u w:val="single"/>
        </w:rPr>
        <w:t>:</w:t>
      </w:r>
      <w:r>
        <w:t xml:space="preserve"> </w:t>
      </w:r>
      <w:r w:rsidR="00A12A16">
        <w:t xml:space="preserve">For those </w:t>
      </w:r>
      <w:r w:rsidR="00CA4165">
        <w:t xml:space="preserve">treatments </w:t>
      </w:r>
      <w:r w:rsidR="00A12A16">
        <w:t xml:space="preserve">not currently addressed in DEER, </w:t>
      </w:r>
      <w:r w:rsidR="00A560DA">
        <w:t>staff</w:t>
      </w:r>
      <w:r w:rsidR="00E36C97">
        <w:t xml:space="preserve"> requests that all IOUs use a </w:t>
      </w:r>
      <w:r w:rsidR="00A12A16">
        <w:t xml:space="preserve">common hourly </w:t>
      </w:r>
      <w:r w:rsidR="00E36C97">
        <w:t>simulation based approach to ex</w:t>
      </w:r>
      <w:r w:rsidR="008704A4">
        <w:t xml:space="preserve"> </w:t>
      </w:r>
      <w:r w:rsidR="00E36C97">
        <w:t>ante savings calculations similar to that used by PG&amp;E</w:t>
      </w:r>
      <w:r w:rsidR="005D1215">
        <w:t>.</w:t>
      </w:r>
      <w:r w:rsidR="00E36C97">
        <w:t xml:space="preserve">  While </w:t>
      </w:r>
      <w:r w:rsidR="00A560DA">
        <w:t>staff</w:t>
      </w:r>
      <w:r w:rsidR="00E36C97">
        <w:t xml:space="preserve"> does not insist on a particular simulation tool, the use of eQUEST and DEER baseline models is highly recommended as it provides </w:t>
      </w:r>
      <w:r w:rsidR="00A560DA">
        <w:t>staff</w:t>
      </w:r>
      <w:r w:rsidR="00E36C97">
        <w:t xml:space="preserve"> with the ability to review all details of the assumptions and approaches used to develop ex</w:t>
      </w:r>
      <w:r w:rsidR="008704A4">
        <w:t xml:space="preserve"> </w:t>
      </w:r>
      <w:r w:rsidR="00E36C97">
        <w:t xml:space="preserve">ante savings.  The </w:t>
      </w:r>
      <w:r w:rsidR="006C3D24">
        <w:t>use of modified DEER models, in particular, provides</w:t>
      </w:r>
      <w:r w:rsidR="00E36C97">
        <w:t xml:space="preserve"> a vetted starting process in the analyses and remove</w:t>
      </w:r>
      <w:r w:rsidR="006C3D24">
        <w:t>s</w:t>
      </w:r>
      <w:r w:rsidR="00E36C97">
        <w:t xml:space="preserve"> many uncertainties in </w:t>
      </w:r>
      <w:r w:rsidR="006C3D24">
        <w:t>the estimation of demand impacts and seasonal accrual of energy impacts.</w:t>
      </w:r>
      <w:r w:rsidR="009036CD">
        <w:t xml:space="preserve">  </w:t>
      </w:r>
    </w:p>
    <w:p w:rsidR="00CD0872" w:rsidRDefault="00CD0872">
      <w:pPr>
        <w:rPr>
          <w:b/>
          <w:u w:val="single"/>
        </w:rPr>
      </w:pPr>
      <w:r>
        <w:rPr>
          <w:b/>
          <w:u w:val="single"/>
        </w:rPr>
        <w:t>Background for Workpaper Dispositions</w:t>
      </w:r>
    </w:p>
    <w:p w:rsidR="00CD0872" w:rsidRPr="00112875" w:rsidRDefault="00CD0872">
      <w:pPr>
        <w:rPr>
          <w:b/>
          <w:u w:val="single"/>
        </w:rPr>
      </w:pPr>
      <w:r w:rsidRPr="00112875">
        <w:rPr>
          <w:b/>
          <w:u w:val="single"/>
        </w:rPr>
        <w:t>Summary:</w:t>
      </w:r>
    </w:p>
    <w:p w:rsidR="00CD0872" w:rsidRDefault="00A560DA">
      <w:r>
        <w:t>Commission staff</w:t>
      </w:r>
      <w:r w:rsidR="00CD0872">
        <w:t xml:space="preserve"> </w:t>
      </w:r>
      <w:r w:rsidR="006D7BC2">
        <w:t>believes</w:t>
      </w:r>
      <w:r w:rsidR="00CD0872">
        <w:t xml:space="preserve"> that the proposed ex ante values are </w:t>
      </w:r>
      <w:r w:rsidR="008704A4">
        <w:t xml:space="preserve">overly </w:t>
      </w:r>
      <w:r w:rsidR="00CD0872">
        <w:t>optimistic</w:t>
      </w:r>
      <w:r w:rsidR="006D7BC2">
        <w:t xml:space="preserve">. </w:t>
      </w:r>
      <w:r w:rsidR="0053058D">
        <w:t>These concerns have been voiced in past workpaper reviews and project coordination reviews</w:t>
      </w:r>
      <w:r w:rsidR="00CD0872">
        <w:t>.</w:t>
      </w:r>
      <w:r w:rsidR="0053058D">
        <w:t xml:space="preserve">  They include baseline issues that are not fully supported, savings assumptions that remain in question and program implementation issues that have the potential to adversely affect program benefits.  </w:t>
      </w:r>
      <w:r w:rsidR="00B177F7">
        <w:t xml:space="preserve">Commission staff </w:t>
      </w:r>
      <w:r w:rsidR="0053058D">
        <w:t>understand</w:t>
      </w:r>
      <w:r w:rsidR="00B177F7">
        <w:t>s</w:t>
      </w:r>
      <w:r w:rsidR="0053058D">
        <w:t xml:space="preserve"> the time and effort required to fully implement the</w:t>
      </w:r>
      <w:r w:rsidR="0052101D">
        <w:t xml:space="preserve">se programs, </w:t>
      </w:r>
      <w:r w:rsidR="00B177F7">
        <w:t xml:space="preserve">and </w:t>
      </w:r>
      <w:r w:rsidR="0052101D">
        <w:t xml:space="preserve">this review is based on </w:t>
      </w:r>
      <w:r w:rsidR="00B177F7">
        <w:t xml:space="preserve">staff’s </w:t>
      </w:r>
      <w:r w:rsidR="0052101D">
        <w:t xml:space="preserve">best evaluation of the programs’ current ability to deliver savings.  </w:t>
      </w:r>
      <w:r w:rsidR="006D7BC2">
        <w:t>The discussion</w:t>
      </w:r>
      <w:r w:rsidR="0052101D">
        <w:t>s</w:t>
      </w:r>
      <w:r>
        <w:t xml:space="preserve"> below detail staff</w:t>
      </w:r>
      <w:r w:rsidR="006D7BC2">
        <w:t>’s concerns</w:t>
      </w:r>
      <w:r w:rsidR="0052101D">
        <w:t xml:space="preserve"> and how those concerns impact ex</w:t>
      </w:r>
      <w:r w:rsidR="008704A4">
        <w:t xml:space="preserve"> </w:t>
      </w:r>
      <w:r w:rsidR="0052101D">
        <w:t>ante savings estimates</w:t>
      </w:r>
      <w:r w:rsidR="00CD0872">
        <w:t>.</w:t>
      </w:r>
    </w:p>
    <w:p w:rsidR="00CD0872" w:rsidRDefault="00CD0872" w:rsidP="0052101D">
      <w:pPr>
        <w:keepNext/>
        <w:ind w:left="360" w:hanging="360"/>
        <w:rPr>
          <w:b/>
          <w:u w:val="single"/>
        </w:rPr>
      </w:pPr>
      <w:r w:rsidRPr="00BE16D9">
        <w:rPr>
          <w:b/>
          <w:u w:val="single"/>
        </w:rPr>
        <w:t>1.</w:t>
      </w:r>
      <w:r w:rsidRPr="00BE16D9">
        <w:rPr>
          <w:b/>
          <w:u w:val="single"/>
        </w:rPr>
        <w:tab/>
      </w:r>
      <w:r w:rsidR="00CC637F">
        <w:rPr>
          <w:b/>
          <w:u w:val="single"/>
        </w:rPr>
        <w:t>Baseline Assumptions Are Overly Pessimistic</w:t>
      </w:r>
    </w:p>
    <w:p w:rsidR="004531D0" w:rsidRDefault="00CC637F" w:rsidP="004B5F0C">
      <w:pPr>
        <w:pStyle w:val="ListParagraph"/>
        <w:numPr>
          <w:ilvl w:val="0"/>
          <w:numId w:val="8"/>
        </w:numPr>
      </w:pPr>
      <w:r w:rsidRPr="001E3388">
        <w:rPr>
          <w:u w:val="single"/>
        </w:rPr>
        <w:t xml:space="preserve">Relative occurrence of </w:t>
      </w:r>
      <w:r w:rsidR="004B5F0C">
        <w:rPr>
          <w:u w:val="single"/>
        </w:rPr>
        <w:t>faults</w:t>
      </w:r>
      <w:r>
        <w:t xml:space="preserve">.  </w:t>
      </w:r>
      <w:r w:rsidR="004B5F0C" w:rsidRPr="004B5F0C">
        <w:t>A review of baseline assumptions used in the estimation of ex</w:t>
      </w:r>
      <w:r w:rsidR="008704A4">
        <w:t xml:space="preserve"> </w:t>
      </w:r>
      <w:r w:rsidR="004B5F0C" w:rsidRPr="004B5F0C">
        <w:t xml:space="preserve">ante savings is believed to be overly pessimistic in the relative occurrence </w:t>
      </w:r>
      <w:r w:rsidR="004B5F0C">
        <w:t>of faults.</w:t>
      </w:r>
      <w:r w:rsidR="004B5F0C" w:rsidRPr="004B5F0C">
        <w:t xml:space="preserve"> These concerns were outlined specifically in the disposition of the SCE 2010-2012 QM workpaper and in co</w:t>
      </w:r>
      <w:r w:rsidR="004B5F0C">
        <w:t xml:space="preserve">ordination meetings with PG&amp;E. </w:t>
      </w:r>
      <w:r w:rsidR="004B5F0C" w:rsidRPr="004B5F0C">
        <w:t>The assumed treatment weightings used to combine treatment savings values are provided in the HVAC QM Savings tab in the combined savings workbook – “</w:t>
      </w:r>
      <w:r w:rsidR="004B5F0C" w:rsidRPr="004B5F0C">
        <w:rPr>
          <w:i/>
        </w:rPr>
        <w:t>20132014-CommercialHVACMaintenance-SavingsValues-</w:t>
      </w:r>
      <w:r w:rsidR="00DC3592">
        <w:rPr>
          <w:i/>
        </w:rPr>
        <w:t>April2013-v1-2</w:t>
      </w:r>
      <w:r w:rsidR="004B5F0C" w:rsidRPr="004B5F0C">
        <w:rPr>
          <w:i/>
        </w:rPr>
        <w:t>.xlsx</w:t>
      </w:r>
      <w:r w:rsidR="004B5F0C">
        <w:rPr>
          <w:i/>
        </w:rPr>
        <w:t>.”</w:t>
      </w:r>
      <w:r w:rsidR="004B5F0C">
        <w:t xml:space="preserve"> Refer to cells D4 through D12 in the “</w:t>
      </w:r>
      <w:r w:rsidR="004B5F0C">
        <w:rPr>
          <w:i/>
        </w:rPr>
        <w:t xml:space="preserve">HVAC QM Savings” </w:t>
      </w:r>
      <w:r w:rsidR="004B5F0C">
        <w:t>tab for the values staff has used for the expected incidence of treatment.</w:t>
      </w:r>
    </w:p>
    <w:p w:rsidR="00CC637F" w:rsidRDefault="001E3388" w:rsidP="00CC637F">
      <w:pPr>
        <w:pStyle w:val="ListParagraph"/>
        <w:numPr>
          <w:ilvl w:val="0"/>
          <w:numId w:val="8"/>
        </w:numPr>
      </w:pPr>
      <w:r w:rsidRPr="00CB6576">
        <w:rPr>
          <w:u w:val="single"/>
        </w:rPr>
        <w:lastRenderedPageBreak/>
        <w:t>Economizer repair</w:t>
      </w:r>
      <w:r w:rsidR="004531D0">
        <w:t>.</w:t>
      </w:r>
      <w:r>
        <w:t xml:space="preserve">  Assumptions are made as to the failure damper position associated with economizer repairs.  In general, the assumption is that the dampers are at some open position that equals or exceeds that need for ventilation air.  A past survey by </w:t>
      </w:r>
      <w:r w:rsidR="00CB6576">
        <w:t xml:space="preserve">PG&amp;E indicated that approximately 40% of failed economizers failed in a closed mode.  This issue has been discussed with the IOUs in various </w:t>
      </w:r>
      <w:r w:rsidR="004B5F0C">
        <w:t>coordination meetings via the HV</w:t>
      </w:r>
      <w:r w:rsidR="00CB6576">
        <w:t>AC Project Coordination effort.  Based on these discussions, no additional data seems to exist on the economizer failure damper position, nor does the current data collection process collect this information directly.  Until such time that direct data are obtained, the baseline assumption for failed economizers should either be the current minimum outdoor air setting (60% occurrence) or failed closed (40% occurrence).</w:t>
      </w:r>
      <w:r w:rsidR="00E271D4">
        <w:t xml:space="preserve">  A failed-close damper leakage rate of 5% outside air is an acceptable baseline assumption.</w:t>
      </w:r>
    </w:p>
    <w:p w:rsidR="00CB6576" w:rsidRDefault="00CB6576" w:rsidP="00CC637F">
      <w:pPr>
        <w:pStyle w:val="ListParagraph"/>
        <w:numPr>
          <w:ilvl w:val="0"/>
          <w:numId w:val="8"/>
        </w:numPr>
      </w:pPr>
      <w:r w:rsidRPr="00CB6576">
        <w:rPr>
          <w:u w:val="single"/>
        </w:rPr>
        <w:t>Addition of Programmable Thermostats</w:t>
      </w:r>
      <w:r>
        <w:t xml:space="preserve">.  The current baseline assumption for facilities with non-programmable thermostats is that connected HVAC systems operate continuously.  The neglects building owner intervention or possible building-wide time-clock control.  Until additional information is obtained that demonstrated otherwise, the baseline model should assume that </w:t>
      </w:r>
      <w:r w:rsidR="00BF2B5A">
        <w:t>3</w:t>
      </w:r>
      <w:r w:rsidR="00E271D4">
        <w:t>0%</w:t>
      </w:r>
      <w:r>
        <w:t xml:space="preserve"> of all sites using non-programmable thermostats exhibit either manual control or time-clock control of units.  Replacement of the existing thermostat with a programmable thermostat for those sites will result in unit cycling at set-back/set-up temperature settings during unoccupied periods as opposed to </w:t>
      </w:r>
      <w:r w:rsidR="00E271D4">
        <w:t>a deactivated system.</w:t>
      </w:r>
    </w:p>
    <w:p w:rsidR="00CD0872" w:rsidRDefault="00CD0872" w:rsidP="00FB0919">
      <w:pPr>
        <w:ind w:left="360" w:hanging="360"/>
        <w:rPr>
          <w:b/>
          <w:u w:val="single"/>
        </w:rPr>
      </w:pPr>
      <w:r>
        <w:rPr>
          <w:b/>
          <w:u w:val="single"/>
        </w:rPr>
        <w:t>2</w:t>
      </w:r>
      <w:r w:rsidRPr="00BE16D9">
        <w:rPr>
          <w:b/>
          <w:u w:val="single"/>
        </w:rPr>
        <w:t>.</w:t>
      </w:r>
      <w:r w:rsidRPr="00BE16D9">
        <w:rPr>
          <w:b/>
          <w:u w:val="single"/>
        </w:rPr>
        <w:tab/>
      </w:r>
      <w:r w:rsidR="00E271D4">
        <w:rPr>
          <w:b/>
          <w:u w:val="single"/>
        </w:rPr>
        <w:t>Repair Efficacy is Overly Optimistic</w:t>
      </w:r>
    </w:p>
    <w:p w:rsidR="00B71CF9" w:rsidRDefault="00CD0872" w:rsidP="00FB0919">
      <w:pPr>
        <w:ind w:left="360" w:hanging="360"/>
      </w:pPr>
      <w:r>
        <w:tab/>
      </w:r>
      <w:r w:rsidR="00872DAB">
        <w:t>Current workpapers base ex</w:t>
      </w:r>
      <w:r w:rsidR="00A259A3">
        <w:t xml:space="preserve"> </w:t>
      </w:r>
      <w:r w:rsidR="00872DAB">
        <w:t>ante savings estimates on the assumption that technicians place the HVAC systems into proper working order</w:t>
      </w:r>
      <w:r w:rsidR="009C3051">
        <w:t>.</w:t>
      </w:r>
      <w:r w:rsidR="00872DAB">
        <w:t xml:space="preserve">  The system improvements are based on either ideal operating conditions or repairs associated with skilled repair technicians.  </w:t>
      </w:r>
      <w:r w:rsidR="00A560DA">
        <w:t>Staff</w:t>
      </w:r>
      <w:r w:rsidR="00872DAB">
        <w:t xml:space="preserve"> believes these end conditions are the programs’ best available efficiency improvements – not necessarily those actually provided by the programs.  As an example, SCE proof of concept report on their QM program showed both negative and positive savings for 33 units for which usable performance data were available.  Some negative savings were obviously associated with an improperly assumed baseline, e.g. economizer repairs.  Others were associated with refrigerant system repairs.  Those, if done properly, should not have produced negative savings.  </w:t>
      </w:r>
    </w:p>
    <w:p w:rsidR="004B5F0C" w:rsidRDefault="00A259A3" w:rsidP="004B5F0C">
      <w:pPr>
        <w:keepNext/>
        <w:ind w:left="360" w:hanging="360"/>
      </w:pPr>
      <w:r>
        <w:rPr>
          <w:b/>
          <w:u w:val="single"/>
        </w:rPr>
        <w:t>3</w:t>
      </w:r>
      <w:r w:rsidRPr="00BE16D9">
        <w:rPr>
          <w:b/>
          <w:u w:val="single"/>
        </w:rPr>
        <w:t>.</w:t>
      </w:r>
      <w:r w:rsidRPr="00BE16D9">
        <w:rPr>
          <w:b/>
          <w:u w:val="single"/>
        </w:rPr>
        <w:tab/>
      </w:r>
      <w:r w:rsidR="004B5F0C">
        <w:rPr>
          <w:b/>
          <w:u w:val="single"/>
        </w:rPr>
        <w:t>Treatment Weightings Used to Provide Combined UES and Savings Adjustment Values</w:t>
      </w:r>
    </w:p>
    <w:p w:rsidR="004B5F0C" w:rsidRDefault="004B5F0C" w:rsidP="004B5F0C">
      <w:pPr>
        <w:ind w:left="360"/>
      </w:pPr>
      <w:r>
        <w:t xml:space="preserve">The assumed treatment weightings used to combine treatment savings values are provided in the </w:t>
      </w:r>
      <w:r w:rsidRPr="00C403B1">
        <w:rPr>
          <w:i/>
        </w:rPr>
        <w:t>HVAC QM Savings</w:t>
      </w:r>
      <w:r>
        <w:t xml:space="preserve"> tab in the combined savings workbook – </w:t>
      </w:r>
      <w:r w:rsidR="00373FC3" w:rsidRPr="004B5F0C">
        <w:t>“</w:t>
      </w:r>
      <w:r w:rsidR="00373FC3" w:rsidRPr="004B5F0C">
        <w:rPr>
          <w:i/>
        </w:rPr>
        <w:t>20132014-CommercialHVACMaintenance-SavingsValues-</w:t>
      </w:r>
      <w:r w:rsidR="00DC3592">
        <w:rPr>
          <w:i/>
        </w:rPr>
        <w:t>April2013-v1-2</w:t>
      </w:r>
      <w:r w:rsidR="00373FC3" w:rsidRPr="004B5F0C">
        <w:rPr>
          <w:i/>
        </w:rPr>
        <w:t>.xlsx</w:t>
      </w:r>
      <w:r w:rsidR="00373FC3">
        <w:rPr>
          <w:i/>
        </w:rPr>
        <w:t xml:space="preserve">.” </w:t>
      </w:r>
      <w:r>
        <w:t xml:space="preserve">Treatment weighting used in this disposition are those provided under the heading </w:t>
      </w:r>
      <w:r w:rsidRPr="00442660">
        <w:rPr>
          <w:b/>
        </w:rPr>
        <w:t>Staff QM</w:t>
      </w:r>
      <w:r>
        <w:t xml:space="preserve"> in the </w:t>
      </w:r>
      <w:r w:rsidRPr="00442660">
        <w:rPr>
          <w:b/>
        </w:rPr>
        <w:t>Expected Incidence of Treatment</w:t>
      </w:r>
      <w:r>
        <w:t xml:space="preserve"> table (cells A2 through E12) of the “</w:t>
      </w:r>
      <w:r w:rsidRPr="002A18B9">
        <w:rPr>
          <w:i/>
        </w:rPr>
        <w:t>HVAC QM Savings</w:t>
      </w:r>
      <w:r>
        <w:rPr>
          <w:i/>
        </w:rPr>
        <w:t>”</w:t>
      </w:r>
      <w:r>
        <w:t xml:space="preserve"> tab of the workbook.  Values reported as recent (2012) claims by current programs are provided as examples in the table for comparison.  </w:t>
      </w:r>
    </w:p>
    <w:p w:rsidR="00CD0872" w:rsidRDefault="00CD0872" w:rsidP="004215BF">
      <w:pPr>
        <w:keepNext/>
        <w:ind w:left="360" w:hanging="360"/>
      </w:pPr>
      <w:r>
        <w:rPr>
          <w:b/>
          <w:u w:val="single"/>
        </w:rPr>
        <w:lastRenderedPageBreak/>
        <w:t>Supporting Documents</w:t>
      </w:r>
    </w:p>
    <w:p w:rsidR="00373FC3" w:rsidRDefault="00373FC3" w:rsidP="00373FC3">
      <w:pPr>
        <w:ind w:left="360"/>
      </w:pPr>
      <w:r>
        <w:t>The following attachments provide details on the assumptions and base values used to produce accepted UES values and their associated savings adjustments.  Each attachment details the source of UES values and any modification to available values.</w:t>
      </w:r>
    </w:p>
    <w:p w:rsidR="00373FC3" w:rsidRDefault="00373FC3" w:rsidP="00373FC3">
      <w:pPr>
        <w:pStyle w:val="ListParagraph"/>
        <w:numPr>
          <w:ilvl w:val="0"/>
          <w:numId w:val="4"/>
        </w:numPr>
      </w:pPr>
      <w:r>
        <w:t xml:space="preserve">Attachment A - </w:t>
      </w:r>
      <w:r w:rsidRPr="004215BF">
        <w:t xml:space="preserve">Background for </w:t>
      </w:r>
      <w:r w:rsidR="00A259A3">
        <w:t>Refrigerant Charge Adjustment (</w:t>
      </w:r>
      <w:r w:rsidRPr="004215BF">
        <w:t>RCA</w:t>
      </w:r>
      <w:r w:rsidR="00A259A3">
        <w:t>)</w:t>
      </w:r>
      <w:r w:rsidRPr="004215BF">
        <w:t xml:space="preserve"> Related </w:t>
      </w:r>
      <w:r>
        <w:t>UES</w:t>
      </w:r>
      <w:r w:rsidRPr="004215BF">
        <w:t xml:space="preserve"> Values</w:t>
      </w:r>
      <w:r>
        <w:t xml:space="preserve">.  This attachment details the development of approved UES for refrigerant charge adjustment, condenser and evaporator coil cleaning, and air flow adjustment tasks.  </w:t>
      </w:r>
    </w:p>
    <w:p w:rsidR="00373FC3" w:rsidRDefault="00373FC3" w:rsidP="00373FC3">
      <w:pPr>
        <w:pStyle w:val="ListParagraph"/>
        <w:numPr>
          <w:ilvl w:val="0"/>
          <w:numId w:val="4"/>
        </w:numPr>
      </w:pPr>
      <w:r>
        <w:t xml:space="preserve">Attachment B - </w:t>
      </w:r>
      <w:r w:rsidRPr="004215BF">
        <w:t xml:space="preserve">Background for Tstat Related </w:t>
      </w:r>
      <w:r>
        <w:t>UES</w:t>
      </w:r>
      <w:r w:rsidRPr="004215BF">
        <w:t xml:space="preserve"> Values</w:t>
      </w:r>
      <w:r>
        <w:t xml:space="preserve">.  This attachment details the development of approved UES values for programmable thermostat and thermostat set point adjustment measures.  </w:t>
      </w:r>
    </w:p>
    <w:p w:rsidR="00373FC3" w:rsidRDefault="00373FC3" w:rsidP="00373FC3">
      <w:pPr>
        <w:pStyle w:val="ListParagraph"/>
        <w:numPr>
          <w:ilvl w:val="0"/>
          <w:numId w:val="4"/>
        </w:numPr>
      </w:pPr>
      <w:r>
        <w:t xml:space="preserve">Attachment C - </w:t>
      </w:r>
      <w:r w:rsidRPr="004A4FCD">
        <w:t>Background for Econo</w:t>
      </w:r>
      <w:r>
        <w:t>mizer</w:t>
      </w:r>
      <w:r w:rsidRPr="004A4FCD">
        <w:t xml:space="preserve"> Related </w:t>
      </w:r>
      <w:r>
        <w:t>UES</w:t>
      </w:r>
      <w:r w:rsidRPr="004A4FCD">
        <w:t xml:space="preserve"> Values</w:t>
      </w:r>
      <w:r>
        <w:t>.  This attachment details the development of approved UES values for economizer repair and economizer controls adjustment measures.</w:t>
      </w:r>
    </w:p>
    <w:p w:rsidR="004A4FCD" w:rsidRDefault="004A4FCD">
      <w:pPr>
        <w:spacing w:after="0" w:line="240" w:lineRule="auto"/>
      </w:pPr>
      <w:r>
        <w:br w:type="page"/>
      </w:r>
    </w:p>
    <w:p w:rsidR="004A4FCD" w:rsidRPr="00960F10" w:rsidRDefault="004A4FCD" w:rsidP="004A4FCD">
      <w:pPr>
        <w:rPr>
          <w:rFonts w:cs="Calibri"/>
          <w:b/>
          <w:bCs/>
          <w:u w:val="single"/>
        </w:rPr>
      </w:pPr>
      <w:r>
        <w:rPr>
          <w:rFonts w:cs="Calibri"/>
          <w:b/>
          <w:bCs/>
          <w:u w:val="single"/>
        </w:rPr>
        <w:lastRenderedPageBreak/>
        <w:t xml:space="preserve">Attachment A - </w:t>
      </w:r>
      <w:r w:rsidRPr="00960F10">
        <w:rPr>
          <w:rFonts w:cs="Calibri"/>
          <w:b/>
          <w:bCs/>
          <w:u w:val="single"/>
        </w:rPr>
        <w:t>Background for RCA Related U</w:t>
      </w:r>
      <w:r w:rsidR="00A259A3">
        <w:rPr>
          <w:rFonts w:cs="Calibri"/>
          <w:b/>
          <w:bCs/>
          <w:u w:val="single"/>
        </w:rPr>
        <w:t>E</w:t>
      </w:r>
      <w:r w:rsidRPr="00960F10">
        <w:rPr>
          <w:rFonts w:cs="Calibri"/>
          <w:b/>
          <w:bCs/>
          <w:u w:val="single"/>
        </w:rPr>
        <w:t>S Values:</w:t>
      </w:r>
    </w:p>
    <w:p w:rsidR="00373FC3" w:rsidRDefault="00373FC3" w:rsidP="00373FC3">
      <w:r>
        <w:t>Savings estimates for workpapers that include refrigerant charge and air-flow adjustment related claims differ significantly in their approaches to determining those claim values</w:t>
      </w:r>
      <w:r w:rsidRPr="00960F10">
        <w:t xml:space="preserve">. </w:t>
      </w:r>
      <w:r>
        <w:t xml:space="preserve"> Rather than examining each workpaper and approach separately, this disposition provides a single set of values based on those provided in the 2011 DEER.  </w:t>
      </w:r>
    </w:p>
    <w:p w:rsidR="00373FC3" w:rsidRDefault="00373FC3" w:rsidP="00373FC3">
      <w:r>
        <w:t>It is important to note that current DEER UES values represent program end goals that could be obtained via a properly functioning maintenance program.  Cooling system efficiency improvements used to generate these savings were obtained by a cadre of skilled technicians focused on maximizing system efficiency improvements.  These same technicians currently serve as master technician</w:t>
      </w:r>
      <w:r w:rsidR="00A259A3">
        <w:t>s</w:t>
      </w:r>
      <w:r>
        <w:t xml:space="preserve"> in the ongoing program EM&amp;V effort.  </w:t>
      </w:r>
      <w:r w:rsidR="00B177F7">
        <w:t>Commission staff</w:t>
      </w:r>
      <w:r>
        <w:t xml:space="preserve"> believe</w:t>
      </w:r>
      <w:r w:rsidR="00B177F7">
        <w:t>s</w:t>
      </w:r>
      <w:r>
        <w:t xml:space="preserve"> that service technicians of this level of expertise operate in IOU-sponsored QM efforts, </w:t>
      </w:r>
      <w:r w:rsidR="00B177F7">
        <w:t>however staff also believes a significant quantity of</w:t>
      </w:r>
      <w:r>
        <w:t xml:space="preserve"> service technicians do not</w:t>
      </w:r>
      <w:r w:rsidR="00A259A3">
        <w:t xml:space="preserve"> possess a master’s level of expertise and</w:t>
      </w:r>
      <w:r>
        <w:t xml:space="preserve"> </w:t>
      </w:r>
      <w:r w:rsidR="00A259A3">
        <w:t>p</w:t>
      </w:r>
      <w:r>
        <w:t>rogram benefits suffer as a result.</w:t>
      </w:r>
    </w:p>
    <w:p w:rsidR="00373FC3" w:rsidRDefault="00373FC3" w:rsidP="00373FC3">
      <w:r w:rsidRPr="00960F10">
        <w:t>The</w:t>
      </w:r>
      <w:r>
        <w:t xml:space="preserve"> general approach in establishing task-based UES values includes the following steps:</w:t>
      </w:r>
    </w:p>
    <w:p w:rsidR="00373FC3" w:rsidRDefault="00373FC3" w:rsidP="00B177F7">
      <w:pPr>
        <w:pStyle w:val="ListParagraph"/>
        <w:numPr>
          <w:ilvl w:val="0"/>
          <w:numId w:val="28"/>
        </w:numPr>
        <w:spacing w:after="120"/>
      </w:pPr>
      <w:r>
        <w:t>Start with UES values from the 2011 DEER for commercial RCA efforts.  Again, these values are viewed as a realizable goal for all QM efforts.</w:t>
      </w:r>
    </w:p>
    <w:p w:rsidR="00373FC3" w:rsidRDefault="00373FC3" w:rsidP="00B177F7">
      <w:pPr>
        <w:pStyle w:val="ListParagraph"/>
        <w:numPr>
          <w:ilvl w:val="0"/>
          <w:numId w:val="28"/>
        </w:numPr>
        <w:spacing w:after="120"/>
      </w:pPr>
      <w:r>
        <w:t>Separate those values into task components of charge adjustment, condenser and evaporator coil cleaning and air flow adjustment.</w:t>
      </w:r>
    </w:p>
    <w:p w:rsidR="00373FC3" w:rsidRDefault="00373FC3" w:rsidP="00B177F7">
      <w:pPr>
        <w:pStyle w:val="ListParagraph"/>
        <w:numPr>
          <w:ilvl w:val="0"/>
          <w:numId w:val="28"/>
        </w:numPr>
        <w:spacing w:after="120"/>
      </w:pPr>
      <w:r>
        <w:t>Provide adjustments to the various components to account for proper application of DEER assumptions and installation rates that represent best estimates of the current state of programs in obtaining DEER values</w:t>
      </w:r>
      <w:r w:rsidRPr="00960F10">
        <w:t>.</w:t>
      </w:r>
    </w:p>
    <w:p w:rsidR="00373FC3" w:rsidRPr="00960F10" w:rsidRDefault="00373FC3" w:rsidP="00373FC3">
      <w:pPr>
        <w:pStyle w:val="ListParagraph"/>
        <w:spacing w:after="120"/>
      </w:pPr>
    </w:p>
    <w:p w:rsidR="00373FC3" w:rsidRPr="00B42C35" w:rsidRDefault="00373FC3" w:rsidP="00373FC3">
      <w:pPr>
        <w:pStyle w:val="ListParagraph"/>
        <w:keepNext/>
        <w:numPr>
          <w:ilvl w:val="0"/>
          <w:numId w:val="11"/>
        </w:numPr>
        <w:rPr>
          <w:b/>
          <w:u w:val="single"/>
        </w:rPr>
      </w:pPr>
      <w:r w:rsidRPr="00B42C35">
        <w:rPr>
          <w:b/>
          <w:u w:val="single"/>
        </w:rPr>
        <w:t>DEER RCA Data</w:t>
      </w:r>
      <w:r>
        <w:rPr>
          <w:b/>
          <w:u w:val="single"/>
        </w:rPr>
        <w:t xml:space="preserve"> </w:t>
      </w:r>
    </w:p>
    <w:p w:rsidR="00373FC3" w:rsidRPr="007311E1" w:rsidRDefault="00373FC3" w:rsidP="00373FC3">
      <w:pPr>
        <w:ind w:left="360"/>
      </w:pPr>
      <w:bookmarkStart w:id="3" w:name="OLE_LINK1"/>
      <w:r>
        <w:t>The assumptions and data associated with the DEER values are well documented in the 2005 DEER Update Study.  DEER UES values provide expected measure benefits for a system receiving ideal maintenance</w:t>
      </w:r>
      <w:r w:rsidRPr="002902D1">
        <w:t>.</w:t>
      </w:r>
      <w:r w:rsidR="007311E1">
        <w:t xml:space="preserve"> The 2011 DEER UES values for </w:t>
      </w:r>
      <w:r w:rsidR="00E4099E">
        <w:t>RCA</w:t>
      </w:r>
      <w:r w:rsidR="007311E1">
        <w:t xml:space="preserve"> are listed in the </w:t>
      </w:r>
      <w:r w:rsidR="007311E1">
        <w:rPr>
          <w:i/>
        </w:rPr>
        <w:t>“</w:t>
      </w:r>
      <w:r w:rsidR="007311E1" w:rsidRPr="007311E1">
        <w:rPr>
          <w:i/>
        </w:rPr>
        <w:t xml:space="preserve">Base RCA </w:t>
      </w:r>
      <w:r w:rsidR="007311E1">
        <w:rPr>
          <w:i/>
        </w:rPr>
        <w:t>–</w:t>
      </w:r>
      <w:r w:rsidR="007311E1" w:rsidRPr="007311E1">
        <w:rPr>
          <w:i/>
        </w:rPr>
        <w:t>DEER</w:t>
      </w:r>
      <w:r w:rsidR="007311E1">
        <w:rPr>
          <w:i/>
        </w:rPr>
        <w:t>”</w:t>
      </w:r>
      <w:r w:rsidR="007311E1">
        <w:t xml:space="preserve"> tab of the workbook </w:t>
      </w:r>
      <w:r w:rsidR="007311E1" w:rsidRPr="004B5F0C">
        <w:t>“</w:t>
      </w:r>
      <w:r w:rsidR="007311E1" w:rsidRPr="004B5F0C">
        <w:rPr>
          <w:i/>
        </w:rPr>
        <w:t>20132014-CommercialHVACMaintenance-SavingsValues-</w:t>
      </w:r>
      <w:r w:rsidR="00DC3592">
        <w:rPr>
          <w:i/>
        </w:rPr>
        <w:t>April2013-v1-2</w:t>
      </w:r>
      <w:r w:rsidR="007311E1" w:rsidRPr="004B5F0C">
        <w:rPr>
          <w:i/>
        </w:rPr>
        <w:t>.xlsx</w:t>
      </w:r>
      <w:r w:rsidR="007311E1">
        <w:rPr>
          <w:i/>
        </w:rPr>
        <w:t>.”</w:t>
      </w:r>
    </w:p>
    <w:bookmarkEnd w:id="3"/>
    <w:p w:rsidR="00373FC3" w:rsidRDefault="00373FC3" w:rsidP="00373FC3">
      <w:pPr>
        <w:pStyle w:val="ListParagraph"/>
        <w:keepNext/>
        <w:numPr>
          <w:ilvl w:val="0"/>
          <w:numId w:val="9"/>
        </w:numPr>
        <w:rPr>
          <w:b/>
          <w:u w:val="single"/>
        </w:rPr>
      </w:pPr>
      <w:r>
        <w:rPr>
          <w:b/>
          <w:u w:val="single"/>
        </w:rPr>
        <w:t>Estimation of Non-Charge Related Services Based on DEER Refrigerant Charge Measures</w:t>
      </w:r>
    </w:p>
    <w:p w:rsidR="00373FC3" w:rsidRDefault="00373FC3" w:rsidP="00373FC3">
      <w:pPr>
        <w:ind w:left="360"/>
      </w:pPr>
      <w:r>
        <w:t xml:space="preserve">QM workpapers </w:t>
      </w:r>
      <w:r>
        <w:rPr>
          <w:rFonts w:asciiTheme="minorHAnsi" w:hAnsiTheme="minorHAnsi" w:cs="Calibri"/>
        </w:rPr>
        <w:t xml:space="preserve">recognize that RCA measure savings associated with DEER estimates include a mix of </w:t>
      </w:r>
      <w:r w:rsidR="00E4099E">
        <w:rPr>
          <w:rFonts w:asciiTheme="minorHAnsi" w:hAnsiTheme="minorHAnsi" w:cs="Calibri"/>
        </w:rPr>
        <w:t>treatments</w:t>
      </w:r>
      <w:r w:rsidRPr="00B42C35">
        <w:t xml:space="preserve">.  </w:t>
      </w:r>
      <w:r w:rsidR="00E4099E">
        <w:t xml:space="preserve">Potential treatments </w:t>
      </w:r>
      <w:r>
        <w:t xml:space="preserve">include </w:t>
      </w:r>
      <w:r w:rsidR="00E4099E">
        <w:t>RCA</w:t>
      </w:r>
      <w:r>
        <w:t xml:space="preserve">, condenser and evaporator coil cleaning, air flow adjustments and other fault corrections like removal of non-condensables or line restrictions in the refrigerant system.  Unfortunately, the actual tasks performed that generated those savings were not published, nor </w:t>
      </w:r>
      <w:r w:rsidR="00353926">
        <w:t xml:space="preserve">were </w:t>
      </w:r>
      <w:r w:rsidR="00E4099E">
        <w:t>the</w:t>
      </w:r>
      <w:r>
        <w:t xml:space="preserve"> incremental benefit</w:t>
      </w:r>
      <w:r w:rsidR="00353926">
        <w:t>s</w:t>
      </w:r>
      <w:r>
        <w:t xml:space="preserve"> of various treatments measured.  The approach taken in IOU workpaper development efforts was to assume that efficiency improvements associated with minimal charge adjustments (less than 10% change in charge) were all a result of coil cleaning and air flow adjustments.  While this approach has merit, there </w:t>
      </w:r>
      <w:r w:rsidR="00E4099E">
        <w:t xml:space="preserve">are </w:t>
      </w:r>
      <w:r>
        <w:t>no data to support this assumption.</w:t>
      </w:r>
    </w:p>
    <w:p w:rsidR="00373FC3" w:rsidRDefault="00373FC3" w:rsidP="00373FC3">
      <w:pPr>
        <w:ind w:left="360"/>
      </w:pPr>
      <w:r>
        <w:lastRenderedPageBreak/>
        <w:t xml:space="preserve">Without better information, </w:t>
      </w:r>
      <w:r w:rsidR="00F011B7">
        <w:t>s</w:t>
      </w:r>
      <w:r>
        <w:t>taff assumes the benefit of non-charge related coil cleaning and air flow adjustment to equal 25% of DEER charge adjust</w:t>
      </w:r>
      <w:r w:rsidR="00CA4165">
        <w:t>ment</w:t>
      </w:r>
      <w:r>
        <w:t xml:space="preserve"> U</w:t>
      </w:r>
      <w:r w:rsidR="00E4099E">
        <w:t>E</w:t>
      </w:r>
      <w:r>
        <w:t xml:space="preserve">S values, or </w:t>
      </w:r>
    </w:p>
    <w:p w:rsidR="00373FC3" w:rsidRDefault="00373FC3" w:rsidP="00373FC3">
      <w:pPr>
        <w:ind w:left="360"/>
        <w:jc w:val="right"/>
      </w:pPr>
      <w:r>
        <w:t>Non-Charge Adjustment UES Values = DEER RCA UES values * 0.25                 (1)</w:t>
      </w:r>
    </w:p>
    <w:p w:rsidR="00373FC3" w:rsidRDefault="00373FC3" w:rsidP="00373FC3">
      <w:pPr>
        <w:ind w:left="360"/>
      </w:pPr>
      <w:r>
        <w:t xml:space="preserve">There is no known evidence as to the relative impact from the three measures – condenser coil cleaning, evaporator coil cleaning and air flow adjustment - that generate non-charge adjustment savings.  It is generally recognized that typical efficiency improvements associated with condenser coil cleaning </w:t>
      </w:r>
      <w:r w:rsidR="00913497">
        <w:t xml:space="preserve">are </w:t>
      </w:r>
      <w:r>
        <w:t xml:space="preserve">much larger than the other two.  Given a paucity of direct measurements of field conditions, </w:t>
      </w:r>
      <w:r w:rsidR="00F011B7">
        <w:t>s</w:t>
      </w:r>
      <w:r>
        <w:t>taff recommends the following apportioning of non-charge adjustment savings among the three possible measures:</w:t>
      </w:r>
    </w:p>
    <w:p w:rsidR="00373FC3" w:rsidRPr="000717E6" w:rsidRDefault="00373FC3" w:rsidP="00373FC3">
      <w:pPr>
        <w:pStyle w:val="ListParagraph"/>
        <w:keepNext/>
        <w:numPr>
          <w:ilvl w:val="0"/>
          <w:numId w:val="13"/>
        </w:numPr>
        <w:spacing w:after="0" w:line="360" w:lineRule="auto"/>
      </w:pPr>
      <w:r w:rsidRPr="000717E6">
        <w:t>Condenser Coil Cleaning – 50% of the total</w:t>
      </w:r>
    </w:p>
    <w:p w:rsidR="00373FC3" w:rsidRPr="000717E6" w:rsidRDefault="00373FC3" w:rsidP="00373FC3">
      <w:pPr>
        <w:pStyle w:val="ListParagraph"/>
        <w:keepNext/>
        <w:numPr>
          <w:ilvl w:val="0"/>
          <w:numId w:val="13"/>
        </w:numPr>
        <w:spacing w:after="0" w:line="360" w:lineRule="auto"/>
      </w:pPr>
      <w:r w:rsidRPr="000717E6">
        <w:t>Evaporator Coil Cleaning – 25% of the total</w:t>
      </w:r>
    </w:p>
    <w:p w:rsidR="00373FC3" w:rsidRDefault="00373FC3" w:rsidP="00373FC3">
      <w:pPr>
        <w:pStyle w:val="ListParagraph"/>
        <w:numPr>
          <w:ilvl w:val="0"/>
          <w:numId w:val="13"/>
        </w:numPr>
        <w:spacing w:line="360" w:lineRule="auto"/>
      </w:pPr>
      <w:r w:rsidRPr="000717E6">
        <w:t>Air Flow Adjustment – 25% of the total.</w:t>
      </w:r>
    </w:p>
    <w:p w:rsidR="00373FC3" w:rsidRDefault="00373FC3" w:rsidP="00373FC3">
      <w:pPr>
        <w:ind w:left="360"/>
      </w:pPr>
      <w:r>
        <w:t xml:space="preserve">Note that the total non-charge adjustment UES values for coil cleaning and air flow adjustment apply to all treated units, even those whose threshold charge adjustment would not qualify for </w:t>
      </w:r>
      <w:r w:rsidR="00913497">
        <w:t>RCA</w:t>
      </w:r>
      <w:r>
        <w:t xml:space="preserve"> savings.  Based on these assumptions, UES values for condenser and evaporator coil cleaning and air flow adjustment are as follows:</w:t>
      </w:r>
    </w:p>
    <w:p w:rsidR="00373FC3" w:rsidRDefault="00373FC3" w:rsidP="00373FC3">
      <w:pPr>
        <w:ind w:left="360"/>
        <w:jc w:val="right"/>
      </w:pPr>
      <w:r>
        <w:t>Condenser Coil Cleaning UES Values = DEER RCA UES values * 0.125                 (2)</w:t>
      </w:r>
    </w:p>
    <w:p w:rsidR="00373FC3" w:rsidRDefault="00373FC3" w:rsidP="00373FC3">
      <w:pPr>
        <w:ind w:left="360"/>
        <w:jc w:val="right"/>
      </w:pPr>
      <w:r>
        <w:t>Evaporator Coil Cleaning UES Values = DEER RCA UES values * 0.0625                 (3)</w:t>
      </w:r>
    </w:p>
    <w:p w:rsidR="00373FC3" w:rsidRDefault="00373FC3" w:rsidP="00373FC3">
      <w:pPr>
        <w:ind w:left="360"/>
        <w:jc w:val="right"/>
      </w:pPr>
      <w:r>
        <w:t>Air Flow Adjustment UES Values = DEER RCA UES values * 0.0625                 (4)</w:t>
      </w:r>
    </w:p>
    <w:p w:rsidR="00373FC3" w:rsidRPr="006251E5" w:rsidRDefault="00373FC3" w:rsidP="00373FC3">
      <w:pPr>
        <w:ind w:left="360"/>
      </w:pPr>
      <w:r>
        <w:t>The DEER RCA value multipliers are provided in Cell B2 of the respective UES value tabs for the various treatments</w:t>
      </w:r>
      <w:r w:rsidR="007311E1">
        <w:t xml:space="preserve"> in the workbook </w:t>
      </w:r>
      <w:r w:rsidR="007311E1" w:rsidRPr="004B5F0C">
        <w:t>“</w:t>
      </w:r>
      <w:r w:rsidR="007311E1" w:rsidRPr="004B5F0C">
        <w:rPr>
          <w:i/>
        </w:rPr>
        <w:t>20132014-CommercialHVACMaintenance-SavingsValues-</w:t>
      </w:r>
      <w:r w:rsidR="00DC3592">
        <w:rPr>
          <w:i/>
        </w:rPr>
        <w:t>April2013-v1-2</w:t>
      </w:r>
      <w:r w:rsidR="007311E1" w:rsidRPr="004B5F0C">
        <w:rPr>
          <w:i/>
        </w:rPr>
        <w:t>.xlsx</w:t>
      </w:r>
      <w:r w:rsidR="007311E1">
        <w:rPr>
          <w:i/>
        </w:rPr>
        <w:t>.”</w:t>
      </w:r>
      <w:r>
        <w:t xml:space="preserve">  These tabs are </w:t>
      </w:r>
      <w:r w:rsidRPr="007513F3">
        <w:rPr>
          <w:i/>
        </w:rPr>
        <w:t>Cond Coil Cleaning</w:t>
      </w:r>
      <w:r>
        <w:t xml:space="preserve"> for condenser coil cleaning UES values, </w:t>
      </w:r>
      <w:r w:rsidRPr="007513F3">
        <w:rPr>
          <w:i/>
        </w:rPr>
        <w:t>Evap Coil Cleaning</w:t>
      </w:r>
      <w:r>
        <w:t xml:space="preserve"> for evaporator coil cleaning UES values, and </w:t>
      </w:r>
      <w:r w:rsidRPr="007513F3">
        <w:rPr>
          <w:i/>
        </w:rPr>
        <w:t>Air Flow Adjustment</w:t>
      </w:r>
      <w:r>
        <w:t xml:space="preserve"> for air flow adjustment UES values.</w:t>
      </w:r>
    </w:p>
    <w:p w:rsidR="00D97AC6" w:rsidRDefault="00D97AC6" w:rsidP="00D97AC6">
      <w:pPr>
        <w:ind w:left="360"/>
      </w:pPr>
    </w:p>
    <w:p w:rsidR="004A4FCD" w:rsidRPr="007A661A" w:rsidRDefault="004A4FCD" w:rsidP="004A4FCD">
      <w:pPr>
        <w:ind w:left="360"/>
        <w:rPr>
          <w:rFonts w:cs="Calibri"/>
        </w:rPr>
      </w:pPr>
    </w:p>
    <w:p w:rsidR="004A4FCD" w:rsidRDefault="004A4FCD">
      <w:pPr>
        <w:spacing w:after="0" w:line="240" w:lineRule="auto"/>
      </w:pPr>
      <w:r>
        <w:br w:type="page"/>
      </w:r>
    </w:p>
    <w:p w:rsidR="004A4FCD" w:rsidRPr="00960F10" w:rsidRDefault="004A4FCD" w:rsidP="004A4FCD">
      <w:pPr>
        <w:rPr>
          <w:rFonts w:cs="Calibri"/>
          <w:b/>
          <w:bCs/>
          <w:u w:val="single"/>
        </w:rPr>
      </w:pPr>
      <w:r>
        <w:rPr>
          <w:rFonts w:cs="Calibri"/>
          <w:b/>
          <w:bCs/>
          <w:u w:val="single"/>
        </w:rPr>
        <w:lastRenderedPageBreak/>
        <w:t xml:space="preserve">Attachment B - </w:t>
      </w:r>
      <w:r w:rsidRPr="00960F10">
        <w:rPr>
          <w:rFonts w:cs="Calibri"/>
          <w:b/>
          <w:bCs/>
          <w:u w:val="single"/>
        </w:rPr>
        <w:t xml:space="preserve">Background for </w:t>
      </w:r>
      <w:r>
        <w:rPr>
          <w:rFonts w:cs="Calibri"/>
          <w:b/>
          <w:bCs/>
          <w:u w:val="single"/>
        </w:rPr>
        <w:t>Revised Thermostat Measures</w:t>
      </w:r>
      <w:r w:rsidRPr="00960F10">
        <w:rPr>
          <w:rFonts w:cs="Calibri"/>
          <w:b/>
          <w:bCs/>
          <w:u w:val="single"/>
        </w:rPr>
        <w:t xml:space="preserve"> U</w:t>
      </w:r>
      <w:r w:rsidR="00353926">
        <w:rPr>
          <w:rFonts w:cs="Calibri"/>
          <w:b/>
          <w:bCs/>
          <w:u w:val="single"/>
        </w:rPr>
        <w:t>E</w:t>
      </w:r>
      <w:r w:rsidRPr="00960F10">
        <w:rPr>
          <w:rFonts w:cs="Calibri"/>
          <w:b/>
          <w:bCs/>
          <w:u w:val="single"/>
        </w:rPr>
        <w:t>S Values:</w:t>
      </w:r>
    </w:p>
    <w:p w:rsidR="00D97AC6" w:rsidRDefault="00D97AC6" w:rsidP="00D97AC6">
      <w:pPr>
        <w:rPr>
          <w:rFonts w:cs="Calibri"/>
        </w:rPr>
      </w:pPr>
      <w:r>
        <w:rPr>
          <w:rFonts w:cs="Calibri"/>
        </w:rPr>
        <w:t>Savings estimates for workpapers that include thermostat measures vary among the various related workpapers.  These differences are related to differing pre/post measure assumptions and the relative occurrence of those assumptions.  In all cases, workpapers categorize thermostat measures into two general categories:</w:t>
      </w:r>
    </w:p>
    <w:p w:rsidR="00D97AC6" w:rsidRDefault="00D97AC6" w:rsidP="00101942">
      <w:pPr>
        <w:numPr>
          <w:ilvl w:val="0"/>
          <w:numId w:val="14"/>
        </w:numPr>
        <w:spacing w:after="0"/>
        <w:rPr>
          <w:rFonts w:cs="Calibri"/>
        </w:rPr>
      </w:pPr>
      <w:r>
        <w:rPr>
          <w:rFonts w:cs="Calibri"/>
        </w:rPr>
        <w:t>Replacement of a non-programmable thermostat with a programmable unit and</w:t>
      </w:r>
    </w:p>
    <w:p w:rsidR="00D97AC6" w:rsidRDefault="00D97AC6" w:rsidP="00101942">
      <w:pPr>
        <w:numPr>
          <w:ilvl w:val="0"/>
          <w:numId w:val="14"/>
        </w:numPr>
        <w:spacing w:after="120"/>
        <w:rPr>
          <w:rFonts w:cs="Calibri"/>
        </w:rPr>
      </w:pPr>
      <w:r>
        <w:rPr>
          <w:rFonts w:cs="Calibri"/>
        </w:rPr>
        <w:t>Revision of set-points for an existing programmable thermostat.</w:t>
      </w:r>
    </w:p>
    <w:p w:rsidR="00D97AC6" w:rsidRDefault="00D97AC6" w:rsidP="00D97AC6">
      <w:pPr>
        <w:rPr>
          <w:rFonts w:cs="Calibri"/>
        </w:rPr>
      </w:pPr>
      <w:r>
        <w:rPr>
          <w:rFonts w:cs="Calibri"/>
        </w:rPr>
        <w:t>Non-residential Q</w:t>
      </w:r>
      <w:r w:rsidR="002C52CC">
        <w:rPr>
          <w:rFonts w:cs="Calibri"/>
        </w:rPr>
        <w:t xml:space="preserve">M </w:t>
      </w:r>
      <w:r>
        <w:rPr>
          <w:rFonts w:cs="Calibri"/>
        </w:rPr>
        <w:t xml:space="preserve">workpapers </w:t>
      </w:r>
      <w:r w:rsidRPr="00FE1812">
        <w:rPr>
          <w:rFonts w:cs="Calibri"/>
        </w:rPr>
        <w:t>PGECOHVC138</w:t>
      </w:r>
      <w:r>
        <w:rPr>
          <w:rFonts w:cs="Calibri"/>
        </w:rPr>
        <w:t xml:space="preserve"> and </w:t>
      </w:r>
      <w:r w:rsidRPr="00FE1812">
        <w:rPr>
          <w:rFonts w:cs="Calibri"/>
        </w:rPr>
        <w:t>SCE13HC037</w:t>
      </w:r>
      <w:r>
        <w:rPr>
          <w:rFonts w:cs="Calibri"/>
        </w:rPr>
        <w:t xml:space="preserve"> calculate expected savings based on defined specific remedies.  Third party workpapers </w:t>
      </w:r>
      <w:r w:rsidRPr="00FE1812">
        <w:rPr>
          <w:rFonts w:cs="Calibri"/>
        </w:rPr>
        <w:t>PGE3PHVC153</w:t>
      </w:r>
      <w:r>
        <w:rPr>
          <w:rFonts w:cs="Calibri"/>
        </w:rPr>
        <w:t xml:space="preserve"> and </w:t>
      </w:r>
      <w:r w:rsidRPr="00FE1812">
        <w:rPr>
          <w:rFonts w:cs="Calibri"/>
        </w:rPr>
        <w:t>PGE3PHVC157</w:t>
      </w:r>
      <w:r>
        <w:rPr>
          <w:rFonts w:cs="Calibri"/>
        </w:rPr>
        <w:t xml:space="preserve"> use DEER values for measure ID </w:t>
      </w:r>
      <w:r w:rsidRPr="00717A2E">
        <w:rPr>
          <w:rFonts w:cs="Calibri"/>
        </w:rPr>
        <w:t>D03-071</w:t>
      </w:r>
      <w:r>
        <w:rPr>
          <w:rFonts w:cs="Calibri"/>
        </w:rPr>
        <w:t xml:space="preserve"> - </w:t>
      </w:r>
      <w:r w:rsidRPr="00717A2E">
        <w:rPr>
          <w:rFonts w:cs="Calibri"/>
        </w:rPr>
        <w:t>Time Clocks (heating/cooling)</w:t>
      </w:r>
      <w:r>
        <w:rPr>
          <w:rFonts w:cs="Calibri"/>
        </w:rPr>
        <w:t xml:space="preserve"> for both </w:t>
      </w:r>
      <w:r w:rsidR="002C52CC">
        <w:rPr>
          <w:rFonts w:cs="Calibri"/>
        </w:rPr>
        <w:t>treatments</w:t>
      </w:r>
      <w:r>
        <w:rPr>
          <w:rFonts w:cs="Calibri"/>
        </w:rPr>
        <w:t xml:space="preserve">.  In reviewing all associated workpapers, </w:t>
      </w:r>
      <w:r w:rsidR="00A560DA">
        <w:rPr>
          <w:rFonts w:cs="Calibri"/>
        </w:rPr>
        <w:t>staff</w:t>
      </w:r>
      <w:r>
        <w:rPr>
          <w:rFonts w:cs="Calibri"/>
        </w:rPr>
        <w:t xml:space="preserve"> makes its disposition based upon the following:</w:t>
      </w:r>
    </w:p>
    <w:p w:rsidR="00D97AC6" w:rsidRDefault="00D97AC6" w:rsidP="00101942">
      <w:pPr>
        <w:numPr>
          <w:ilvl w:val="0"/>
          <w:numId w:val="15"/>
        </w:numPr>
        <w:spacing w:after="120"/>
        <w:rPr>
          <w:rFonts w:cs="Calibri"/>
        </w:rPr>
      </w:pPr>
      <w:r>
        <w:rPr>
          <w:rFonts w:cs="Calibri"/>
        </w:rPr>
        <w:t xml:space="preserve">Calculation methodologies provided in workpapers </w:t>
      </w:r>
      <w:r w:rsidRPr="00FE1812">
        <w:rPr>
          <w:rFonts w:cs="Calibri"/>
        </w:rPr>
        <w:t>PGECOHVC138</w:t>
      </w:r>
      <w:r>
        <w:rPr>
          <w:rFonts w:cs="Calibri"/>
        </w:rPr>
        <w:t xml:space="preserve"> and </w:t>
      </w:r>
      <w:r w:rsidRPr="00FE1812">
        <w:rPr>
          <w:rFonts w:cs="Calibri"/>
        </w:rPr>
        <w:t>SCE13HC037</w:t>
      </w:r>
      <w:r>
        <w:rPr>
          <w:rFonts w:cs="Calibri"/>
        </w:rPr>
        <w:t xml:space="preserve"> are fundamentally sound and represent an approved overall approach.  Savings estimates associated with these efforts serve as the basis for this disposition.  However, </w:t>
      </w:r>
      <w:r w:rsidR="00A560DA">
        <w:rPr>
          <w:rFonts w:cs="Calibri"/>
        </w:rPr>
        <w:t>staff</w:t>
      </w:r>
      <w:r>
        <w:rPr>
          <w:rFonts w:cs="Calibri"/>
        </w:rPr>
        <w:t xml:space="preserve"> asks that all future energy impacts </w:t>
      </w:r>
      <w:r w:rsidR="002C52CC">
        <w:rPr>
          <w:rFonts w:cs="Calibri"/>
        </w:rPr>
        <w:t xml:space="preserve">be </w:t>
      </w:r>
      <w:r>
        <w:rPr>
          <w:rFonts w:cs="Calibri"/>
        </w:rPr>
        <w:t>based on a single calculation approach.  Th</w:t>
      </w:r>
      <w:r w:rsidR="002C52CC">
        <w:rPr>
          <w:rFonts w:cs="Calibri"/>
        </w:rPr>
        <w:t>e approach</w:t>
      </w:r>
      <w:r>
        <w:rPr>
          <w:rFonts w:cs="Calibri"/>
        </w:rPr>
        <w:t xml:space="preserve"> used in workpaper </w:t>
      </w:r>
      <w:r w:rsidRPr="00FE1812">
        <w:rPr>
          <w:rFonts w:cs="Calibri"/>
        </w:rPr>
        <w:t>PGECOHVC138</w:t>
      </w:r>
      <w:r>
        <w:rPr>
          <w:rFonts w:cs="Calibri"/>
        </w:rPr>
        <w:t xml:space="preserve"> is preferred as it is based on established DEER building models and energy calculation approaches.  </w:t>
      </w:r>
    </w:p>
    <w:p w:rsidR="00D97AC6" w:rsidRDefault="00D97AC6" w:rsidP="00101942">
      <w:pPr>
        <w:numPr>
          <w:ilvl w:val="0"/>
          <w:numId w:val="15"/>
        </w:numPr>
        <w:spacing w:after="120"/>
        <w:rPr>
          <w:rFonts w:cs="Calibri"/>
        </w:rPr>
      </w:pPr>
      <w:r>
        <w:rPr>
          <w:rFonts w:cs="Calibri"/>
        </w:rPr>
        <w:t>The use of DEER values associated with measure ID D03-</w:t>
      </w:r>
      <w:r w:rsidR="00913497">
        <w:rPr>
          <w:rFonts w:cs="Calibri"/>
        </w:rPr>
        <w:t>0</w:t>
      </w:r>
      <w:r>
        <w:rPr>
          <w:rFonts w:cs="Calibri"/>
        </w:rPr>
        <w:t xml:space="preserve">71 is not appropriate for use in workpapers </w:t>
      </w:r>
      <w:r w:rsidRPr="00FE1812">
        <w:rPr>
          <w:rFonts w:cs="Calibri"/>
        </w:rPr>
        <w:t>PGE3PHVC153</w:t>
      </w:r>
      <w:r>
        <w:rPr>
          <w:rFonts w:cs="Calibri"/>
        </w:rPr>
        <w:t xml:space="preserve"> and </w:t>
      </w:r>
      <w:r w:rsidRPr="00FE1812">
        <w:rPr>
          <w:rFonts w:cs="Calibri"/>
        </w:rPr>
        <w:t>PGE3PHVC157</w:t>
      </w:r>
      <w:r>
        <w:rPr>
          <w:rFonts w:cs="Calibri"/>
        </w:rPr>
        <w:t xml:space="preserve"> as the assumptions associated with this measure do not coincide with the expected treatment.</w:t>
      </w:r>
    </w:p>
    <w:p w:rsidR="00D97AC6" w:rsidRDefault="007311E1" w:rsidP="00101942">
      <w:pPr>
        <w:numPr>
          <w:ilvl w:val="0"/>
          <w:numId w:val="15"/>
        </w:numPr>
        <w:spacing w:after="120"/>
        <w:rPr>
          <w:rFonts w:cs="Calibri"/>
        </w:rPr>
      </w:pPr>
      <w:r>
        <w:rPr>
          <w:rFonts w:cs="Calibri"/>
        </w:rPr>
        <w:t>S</w:t>
      </w:r>
      <w:r w:rsidRPr="007311E1">
        <w:rPr>
          <w:rFonts w:cs="Calibri"/>
        </w:rPr>
        <w:t xml:space="preserve">taff believes that many of the assumptions used in calculating the benefits of thermostat measures are </w:t>
      </w:r>
      <w:r w:rsidR="002C52CC">
        <w:rPr>
          <w:rFonts w:cs="Calibri"/>
        </w:rPr>
        <w:t xml:space="preserve">overly </w:t>
      </w:r>
      <w:r w:rsidRPr="007311E1">
        <w:rPr>
          <w:rFonts w:cs="Calibri"/>
        </w:rPr>
        <w:t xml:space="preserve">optimistic </w:t>
      </w:r>
      <w:r w:rsidR="002C52CC">
        <w:rPr>
          <w:rFonts w:cs="Calibri"/>
        </w:rPr>
        <w:t>and</w:t>
      </w:r>
      <w:r w:rsidRPr="007311E1">
        <w:rPr>
          <w:rFonts w:cs="Calibri"/>
        </w:rPr>
        <w:t xml:space="preserve"> significantly overstat</w:t>
      </w:r>
      <w:r w:rsidR="002C52CC">
        <w:rPr>
          <w:rFonts w:cs="Calibri"/>
        </w:rPr>
        <w:t>e</w:t>
      </w:r>
      <w:r w:rsidRPr="007311E1">
        <w:rPr>
          <w:rFonts w:cs="Calibri"/>
        </w:rPr>
        <w:t xml:space="preserve"> savings. The disposition includes savings adjustments based on past discussions, data obtained from current programs</w:t>
      </w:r>
      <w:r w:rsidR="002C52CC">
        <w:rPr>
          <w:rFonts w:cs="Calibri"/>
        </w:rPr>
        <w:t>,</w:t>
      </w:r>
      <w:r w:rsidRPr="007311E1">
        <w:rPr>
          <w:rFonts w:cs="Calibri"/>
        </w:rPr>
        <w:t xml:space="preserve"> and general program observations (qualitative assessment only) </w:t>
      </w:r>
      <w:r w:rsidR="002C52CC">
        <w:rPr>
          <w:rFonts w:cs="Calibri"/>
        </w:rPr>
        <w:t>from</w:t>
      </w:r>
      <w:r w:rsidRPr="007311E1">
        <w:rPr>
          <w:rFonts w:cs="Calibri"/>
        </w:rPr>
        <w:t xml:space="preserve"> the ongoing EM&amp;V effort via Work</w:t>
      </w:r>
      <w:r>
        <w:rPr>
          <w:rFonts w:cs="Calibri"/>
        </w:rPr>
        <w:t xml:space="preserve"> </w:t>
      </w:r>
      <w:r w:rsidRPr="007311E1">
        <w:rPr>
          <w:rFonts w:cs="Calibri"/>
        </w:rPr>
        <w:t>Order 32.</w:t>
      </w:r>
    </w:p>
    <w:p w:rsidR="00D97AC6" w:rsidRPr="00B42C35" w:rsidRDefault="007311E1" w:rsidP="005575F5">
      <w:pPr>
        <w:pStyle w:val="ListParagraph"/>
        <w:keepNext/>
        <w:numPr>
          <w:ilvl w:val="0"/>
          <w:numId w:val="22"/>
        </w:numPr>
        <w:contextualSpacing w:val="0"/>
        <w:rPr>
          <w:rFonts w:cs="Calibri"/>
          <w:b/>
          <w:bCs/>
          <w:u w:val="single"/>
        </w:rPr>
      </w:pPr>
      <w:r>
        <w:rPr>
          <w:rFonts w:cs="Calibri"/>
          <w:b/>
          <w:bCs/>
          <w:u w:val="single"/>
        </w:rPr>
        <w:t>IOU Proposed UES Values</w:t>
      </w:r>
    </w:p>
    <w:p w:rsidR="00D97AC6" w:rsidRDefault="007311E1" w:rsidP="00D97AC6">
      <w:pPr>
        <w:ind w:left="360"/>
        <w:rPr>
          <w:rFonts w:cs="Calibri"/>
        </w:rPr>
      </w:pPr>
      <w:r>
        <w:rPr>
          <w:rFonts w:cs="Calibri"/>
        </w:rPr>
        <w:t>The thermostat measures are not in DEER.  Because of this</w:t>
      </w:r>
      <w:r w:rsidR="002C52CC">
        <w:rPr>
          <w:rFonts w:cs="Calibri"/>
        </w:rPr>
        <w:t>,</w:t>
      </w:r>
      <w:r>
        <w:rPr>
          <w:rFonts w:cs="Calibri"/>
        </w:rPr>
        <w:t xml:space="preserve"> data </w:t>
      </w:r>
      <w:r w:rsidR="00D97AC6">
        <w:rPr>
          <w:rFonts w:cs="Calibri"/>
        </w:rPr>
        <w:t xml:space="preserve">from the </w:t>
      </w:r>
      <w:r w:rsidR="00D97AC6" w:rsidRPr="00FE1812">
        <w:rPr>
          <w:rFonts w:cs="Calibri"/>
        </w:rPr>
        <w:t>PGECOHVC138</w:t>
      </w:r>
      <w:r w:rsidR="00D97AC6">
        <w:rPr>
          <w:rFonts w:cs="Calibri"/>
        </w:rPr>
        <w:t xml:space="preserve"> and </w:t>
      </w:r>
      <w:r w:rsidR="00D97AC6" w:rsidRPr="00FE1812">
        <w:rPr>
          <w:rFonts w:cs="Calibri"/>
        </w:rPr>
        <w:t>SCE13HC037</w:t>
      </w:r>
      <w:r w:rsidR="00D97AC6">
        <w:rPr>
          <w:rFonts w:cs="Calibri"/>
        </w:rPr>
        <w:t xml:space="preserve"> workpapers are used to provide </w:t>
      </w:r>
      <w:r>
        <w:rPr>
          <w:rFonts w:cs="Calibri"/>
        </w:rPr>
        <w:t>initial UES values</w:t>
      </w:r>
      <w:r w:rsidR="00D97AC6">
        <w:rPr>
          <w:rFonts w:cs="Calibri"/>
        </w:rPr>
        <w:t>.  Program data and workpaper information is used to separate savings data into two general categories – replacement of a non-programmable thermostat with a programmable unit and re-programming of an existing programmable thermostat.  T</w:t>
      </w:r>
      <w:r w:rsidR="002C52CC">
        <w:rPr>
          <w:rFonts w:cs="Calibri"/>
        </w:rPr>
        <w:t>he t</w:t>
      </w:r>
      <w:r w:rsidR="00D97AC6">
        <w:rPr>
          <w:rFonts w:cs="Calibri"/>
        </w:rPr>
        <w:t xml:space="preserve">hird party workpaper </w:t>
      </w:r>
      <w:r w:rsidR="00D97AC6" w:rsidRPr="00FE1812">
        <w:rPr>
          <w:rFonts w:cs="Calibri"/>
        </w:rPr>
        <w:t>PGE3PHVC153</w:t>
      </w:r>
      <w:r w:rsidR="00D97AC6">
        <w:rPr>
          <w:rFonts w:cs="Calibri"/>
        </w:rPr>
        <w:t xml:space="preserve"> is a thermostat replacement measure.  T</w:t>
      </w:r>
      <w:r w:rsidR="002C52CC">
        <w:rPr>
          <w:rFonts w:cs="Calibri"/>
        </w:rPr>
        <w:t>he t</w:t>
      </w:r>
      <w:r w:rsidR="00D97AC6">
        <w:rPr>
          <w:rFonts w:cs="Calibri"/>
        </w:rPr>
        <w:t xml:space="preserve">hird party workpaper </w:t>
      </w:r>
      <w:r w:rsidR="00D97AC6" w:rsidRPr="00FE1812">
        <w:rPr>
          <w:rFonts w:cs="Calibri"/>
        </w:rPr>
        <w:t>PGE3PHVC15</w:t>
      </w:r>
      <w:r w:rsidR="00D97AC6">
        <w:rPr>
          <w:rFonts w:cs="Calibri"/>
        </w:rPr>
        <w:t xml:space="preserve">7 is a thermostat reprogramming measure. </w:t>
      </w:r>
    </w:p>
    <w:p w:rsidR="00D97AC6" w:rsidRPr="00BD5804" w:rsidRDefault="00D97AC6" w:rsidP="00D97AC6">
      <w:pPr>
        <w:ind w:left="720"/>
        <w:rPr>
          <w:rFonts w:cs="Calibri"/>
          <w:u w:val="single"/>
        </w:rPr>
      </w:pPr>
      <w:r w:rsidRPr="00BD5804">
        <w:rPr>
          <w:rFonts w:cs="Calibri"/>
          <w:u w:val="single"/>
        </w:rPr>
        <w:t>PGE Unadjusted U</w:t>
      </w:r>
      <w:r w:rsidR="002C52CC">
        <w:rPr>
          <w:rFonts w:cs="Calibri"/>
          <w:u w:val="single"/>
        </w:rPr>
        <w:t>E</w:t>
      </w:r>
      <w:r w:rsidRPr="00BD5804">
        <w:rPr>
          <w:rFonts w:cs="Calibri"/>
          <w:u w:val="single"/>
        </w:rPr>
        <w:t xml:space="preserve">S Values </w:t>
      </w:r>
    </w:p>
    <w:p w:rsidR="00D97AC6" w:rsidRDefault="00D97AC6" w:rsidP="00D97AC6">
      <w:pPr>
        <w:ind w:left="720"/>
        <w:rPr>
          <w:rFonts w:cs="Calibri"/>
        </w:rPr>
      </w:pPr>
      <w:r>
        <w:rPr>
          <w:rFonts w:cs="Calibri"/>
        </w:rPr>
        <w:t xml:space="preserve">Workpaper </w:t>
      </w:r>
      <w:r w:rsidRPr="00FE1812">
        <w:rPr>
          <w:rFonts w:cs="Calibri"/>
        </w:rPr>
        <w:t>PGECOHVC138</w:t>
      </w:r>
      <w:r>
        <w:rPr>
          <w:rFonts w:cs="Calibri"/>
        </w:rPr>
        <w:t xml:space="preserve"> provides only aggregate savings for both </w:t>
      </w:r>
      <w:r w:rsidR="002C52CC">
        <w:rPr>
          <w:rFonts w:cs="Calibri"/>
        </w:rPr>
        <w:t xml:space="preserve">treatments </w:t>
      </w:r>
      <w:r>
        <w:rPr>
          <w:rFonts w:cs="Calibri"/>
        </w:rPr>
        <w:t xml:space="preserve">(thermostat replacement and thermostat re-programming) weighted by assumed occurrence.  Based on data </w:t>
      </w:r>
      <w:r>
        <w:rPr>
          <w:rFonts w:cs="Calibri"/>
        </w:rPr>
        <w:lastRenderedPageBreak/>
        <w:t xml:space="preserve">provided in the workpaper, thermostat savings occur for </w:t>
      </w:r>
      <w:r w:rsidRPr="004B13F1">
        <w:rPr>
          <w:rFonts w:cs="Calibri"/>
        </w:rPr>
        <w:t>29.38%</w:t>
      </w:r>
      <w:r>
        <w:rPr>
          <w:rFonts w:cs="Calibri"/>
        </w:rPr>
        <w:t xml:space="preserve"> of the systems.  The savings associated with thermostat measures are based upon the full population of systems.  As such, savings associated with a thermostat treatment (not the population as a whole) are:</w:t>
      </w:r>
    </w:p>
    <w:p w:rsidR="00D97AC6" w:rsidRDefault="00D97AC6" w:rsidP="00D97AC6">
      <w:pPr>
        <w:ind w:left="720"/>
        <w:jc w:val="right"/>
        <w:rPr>
          <w:rFonts w:cs="Calibri"/>
        </w:rPr>
      </w:pPr>
      <w:r>
        <w:rPr>
          <w:rFonts w:cs="Calibri"/>
        </w:rPr>
        <w:t>Total PGE Un-Adjusted U</w:t>
      </w:r>
      <w:r w:rsidR="002C52CC">
        <w:rPr>
          <w:rFonts w:cs="Calibri"/>
        </w:rPr>
        <w:t>E</w:t>
      </w:r>
      <w:r>
        <w:rPr>
          <w:rFonts w:cs="Calibri"/>
        </w:rPr>
        <w:t>S</w:t>
      </w:r>
      <w:r w:rsidRPr="004B13F1">
        <w:rPr>
          <w:rFonts w:cs="Calibri"/>
          <w:vertAlign w:val="subscript"/>
        </w:rPr>
        <w:t>Tstat</w:t>
      </w:r>
      <w:r>
        <w:rPr>
          <w:rFonts w:cs="Calibri"/>
        </w:rPr>
        <w:t xml:space="preserve"> = Reported U</w:t>
      </w:r>
      <w:r w:rsidR="00F011B7">
        <w:rPr>
          <w:rFonts w:cs="Calibri"/>
        </w:rPr>
        <w:t>E</w:t>
      </w:r>
      <w:r>
        <w:rPr>
          <w:rFonts w:cs="Calibri"/>
        </w:rPr>
        <w:t xml:space="preserve">S/0.2938 </w:t>
      </w:r>
      <w:r>
        <w:rPr>
          <w:rFonts w:cs="Calibri"/>
        </w:rPr>
        <w:tab/>
      </w:r>
      <w:r>
        <w:rPr>
          <w:rFonts w:cs="Calibri"/>
        </w:rPr>
        <w:tab/>
      </w:r>
      <w:r>
        <w:rPr>
          <w:rFonts w:cs="Calibri"/>
        </w:rPr>
        <w:tab/>
        <w:t xml:space="preserve">   (1)</w:t>
      </w:r>
    </w:p>
    <w:p w:rsidR="00D97AC6" w:rsidRDefault="00D97AC6" w:rsidP="00D97AC6">
      <w:pPr>
        <w:ind w:left="720"/>
        <w:rPr>
          <w:rFonts w:cs="Calibri"/>
        </w:rPr>
      </w:pPr>
      <w:r>
        <w:rPr>
          <w:rFonts w:cs="Calibri"/>
        </w:rPr>
        <w:t>where the Reported U</w:t>
      </w:r>
      <w:r w:rsidR="002C52CC">
        <w:rPr>
          <w:rFonts w:cs="Calibri"/>
        </w:rPr>
        <w:t>E</w:t>
      </w:r>
      <w:r>
        <w:rPr>
          <w:rFonts w:cs="Calibri"/>
        </w:rPr>
        <w:t xml:space="preserve">S values are those noted as Weighted Tstat Savings in the </w:t>
      </w:r>
      <w:r w:rsidR="007311E1">
        <w:rPr>
          <w:rFonts w:cs="Calibri"/>
        </w:rPr>
        <w:t>“</w:t>
      </w:r>
      <w:r w:rsidR="007311E1" w:rsidRPr="00E9363A">
        <w:rPr>
          <w:rFonts w:cs="Calibri"/>
          <w:i/>
        </w:rPr>
        <w:t>PGE-ComHVACQMFromPGECOHVC138</w:t>
      </w:r>
      <w:r w:rsidR="007311E1">
        <w:rPr>
          <w:rFonts w:cs="Calibri"/>
          <w:i/>
        </w:rPr>
        <w:t xml:space="preserve">” </w:t>
      </w:r>
      <w:r w:rsidR="007311E1">
        <w:rPr>
          <w:rFonts w:cs="Calibri"/>
        </w:rPr>
        <w:t xml:space="preserve">tab of the work book </w:t>
      </w:r>
      <w:r w:rsidR="007311E1" w:rsidRPr="004B5F0C">
        <w:t>“</w:t>
      </w:r>
      <w:r w:rsidR="007311E1" w:rsidRPr="004B5F0C">
        <w:rPr>
          <w:i/>
        </w:rPr>
        <w:t>20132014-CommercialHVACMaintenance-SavingsValues-</w:t>
      </w:r>
      <w:r w:rsidR="00DC3592">
        <w:rPr>
          <w:i/>
        </w:rPr>
        <w:t>April2013-v1-2</w:t>
      </w:r>
      <w:r w:rsidR="007311E1" w:rsidRPr="004B5F0C">
        <w:rPr>
          <w:i/>
        </w:rPr>
        <w:t>.xlsx</w:t>
      </w:r>
      <w:r w:rsidR="007311E1">
        <w:rPr>
          <w:i/>
        </w:rPr>
        <w:t>.”</w:t>
      </w:r>
      <w:r>
        <w:rPr>
          <w:rFonts w:cs="Calibri"/>
        </w:rPr>
        <w:t xml:space="preserve"> </w:t>
      </w:r>
      <w:r w:rsidR="00F011B7">
        <w:rPr>
          <w:rFonts w:cs="Calibri"/>
        </w:rPr>
        <w:t xml:space="preserve"> </w:t>
      </w:r>
      <w:r w:rsidR="00B65F48">
        <w:rPr>
          <w:rFonts w:cs="Calibri"/>
        </w:rPr>
        <w:t xml:space="preserve">The various headings provide kWh, kW and therm UES values.  The workpaper or associated documents provide no mechanism for apportioning the overall UES values into thermostat replacement or reprogramming treatments.  </w:t>
      </w:r>
      <w:r>
        <w:rPr>
          <w:rFonts w:cs="Calibri"/>
        </w:rPr>
        <w:t xml:space="preserve">The only additional data available is that thermostat replacements are 90% of the treatments, while thermostat reprogramming is assumed to occur in the remaining 10% of the overall thermostat treatments.  </w:t>
      </w:r>
    </w:p>
    <w:p w:rsidR="00D97AC6" w:rsidRDefault="00D97AC6" w:rsidP="00D97AC6">
      <w:pPr>
        <w:ind w:left="720"/>
        <w:rPr>
          <w:rFonts w:cs="Calibri"/>
        </w:rPr>
      </w:pPr>
      <w:r>
        <w:rPr>
          <w:rFonts w:cs="Calibri"/>
        </w:rPr>
        <w:t xml:space="preserve">Information from the SCE </w:t>
      </w:r>
      <w:r w:rsidR="002C52CC">
        <w:rPr>
          <w:rFonts w:cs="Calibri"/>
        </w:rPr>
        <w:t>QM</w:t>
      </w:r>
      <w:r>
        <w:rPr>
          <w:rFonts w:cs="Calibri"/>
        </w:rPr>
        <w:t xml:space="preserve"> workpaper suggests that energy savings associated with thermostat replacement are essentially double that of thermostat re-programming.  While we are hesitant to apply data from one calculation process to another, this seems to be a reasonable finding.  Applying the </w:t>
      </w:r>
      <w:r w:rsidR="002C52CC">
        <w:rPr>
          <w:rFonts w:cs="Calibri"/>
        </w:rPr>
        <w:t>two</w:t>
      </w:r>
      <w:r>
        <w:rPr>
          <w:rFonts w:cs="Calibri"/>
        </w:rPr>
        <w:t>-to-one savings ratio between thermostat replacement and reprogramming to the PGE data:</w:t>
      </w:r>
    </w:p>
    <w:p w:rsidR="00D97AC6" w:rsidRDefault="00D97AC6" w:rsidP="00D97AC6">
      <w:pPr>
        <w:ind w:left="720"/>
        <w:jc w:val="right"/>
        <w:rPr>
          <w:rFonts w:cs="Calibri"/>
        </w:rPr>
      </w:pPr>
      <w:r>
        <w:rPr>
          <w:rFonts w:cs="Calibri"/>
        </w:rPr>
        <w:t>Total PGE Un-Adjusted U</w:t>
      </w:r>
      <w:r w:rsidR="002C52CC">
        <w:rPr>
          <w:rFonts w:cs="Calibri"/>
        </w:rPr>
        <w:t>E</w:t>
      </w:r>
      <w:r>
        <w:rPr>
          <w:rFonts w:cs="Calibri"/>
        </w:rPr>
        <w:t>S</w:t>
      </w:r>
      <w:r w:rsidRPr="004B13F1">
        <w:rPr>
          <w:rFonts w:cs="Calibri"/>
          <w:vertAlign w:val="subscript"/>
        </w:rPr>
        <w:t>Tstat</w:t>
      </w:r>
      <w:r>
        <w:rPr>
          <w:rFonts w:cs="Calibri"/>
          <w:vertAlign w:val="subscript"/>
        </w:rPr>
        <w:t xml:space="preserve"> Replace</w:t>
      </w:r>
      <w:r>
        <w:rPr>
          <w:rFonts w:cs="Calibri"/>
        </w:rPr>
        <w:t xml:space="preserve"> = Reported U</w:t>
      </w:r>
      <w:r w:rsidR="00F011B7">
        <w:rPr>
          <w:rFonts w:cs="Calibri"/>
        </w:rPr>
        <w:t>E</w:t>
      </w:r>
      <w:r>
        <w:rPr>
          <w:rFonts w:cs="Calibri"/>
        </w:rPr>
        <w:t xml:space="preserve">S*1.053/0.2938 </w:t>
      </w:r>
      <w:r>
        <w:rPr>
          <w:rFonts w:cs="Calibri"/>
        </w:rPr>
        <w:tab/>
      </w:r>
      <w:r>
        <w:rPr>
          <w:rFonts w:cs="Calibri"/>
        </w:rPr>
        <w:tab/>
        <w:t xml:space="preserve">   (2)</w:t>
      </w:r>
    </w:p>
    <w:p w:rsidR="00D97AC6" w:rsidRDefault="00D97AC6" w:rsidP="00D97AC6">
      <w:pPr>
        <w:ind w:left="720"/>
        <w:jc w:val="right"/>
        <w:rPr>
          <w:rFonts w:cs="Calibri"/>
        </w:rPr>
      </w:pPr>
      <w:r>
        <w:rPr>
          <w:rFonts w:cs="Calibri"/>
        </w:rPr>
        <w:t>Total PGE Un-Adjusted U</w:t>
      </w:r>
      <w:r w:rsidR="002C52CC">
        <w:rPr>
          <w:rFonts w:cs="Calibri"/>
        </w:rPr>
        <w:t>E</w:t>
      </w:r>
      <w:r>
        <w:rPr>
          <w:rFonts w:cs="Calibri"/>
        </w:rPr>
        <w:t>S</w:t>
      </w:r>
      <w:r w:rsidRPr="004B13F1">
        <w:rPr>
          <w:rFonts w:cs="Calibri"/>
          <w:vertAlign w:val="subscript"/>
        </w:rPr>
        <w:t>Tstat</w:t>
      </w:r>
      <w:r>
        <w:rPr>
          <w:rFonts w:cs="Calibri"/>
          <w:vertAlign w:val="subscript"/>
        </w:rPr>
        <w:t xml:space="preserve"> Reprog</w:t>
      </w:r>
      <w:r>
        <w:rPr>
          <w:rFonts w:cs="Calibri"/>
        </w:rPr>
        <w:t xml:space="preserve"> = Reported U</w:t>
      </w:r>
      <w:r w:rsidR="00F011B7">
        <w:rPr>
          <w:rFonts w:cs="Calibri"/>
        </w:rPr>
        <w:t>E</w:t>
      </w:r>
      <w:r>
        <w:rPr>
          <w:rFonts w:cs="Calibri"/>
        </w:rPr>
        <w:t xml:space="preserve">S*0.53/0.2938 </w:t>
      </w:r>
      <w:r>
        <w:rPr>
          <w:rFonts w:cs="Calibri"/>
        </w:rPr>
        <w:tab/>
      </w:r>
      <w:r>
        <w:rPr>
          <w:rFonts w:cs="Calibri"/>
        </w:rPr>
        <w:tab/>
        <w:t xml:space="preserve">   (3)</w:t>
      </w:r>
    </w:p>
    <w:p w:rsidR="00D97AC6" w:rsidRDefault="00D97AC6" w:rsidP="00D97AC6">
      <w:pPr>
        <w:ind w:left="720" w:firstLine="720"/>
        <w:rPr>
          <w:rFonts w:cs="Calibri"/>
        </w:rPr>
      </w:pPr>
      <w:r>
        <w:rPr>
          <w:rFonts w:cs="Calibri"/>
        </w:rPr>
        <w:t>where:</w:t>
      </w:r>
    </w:p>
    <w:p w:rsidR="00D97AC6" w:rsidRDefault="00D97AC6" w:rsidP="00D97AC6">
      <w:pPr>
        <w:ind w:left="1440"/>
        <w:rPr>
          <w:rFonts w:cs="Calibri"/>
        </w:rPr>
      </w:pPr>
      <w:r>
        <w:rPr>
          <w:rFonts w:cs="Calibri"/>
        </w:rPr>
        <w:t>Total PGE Un-Adjusted U</w:t>
      </w:r>
      <w:r w:rsidR="002C52CC">
        <w:rPr>
          <w:rFonts w:cs="Calibri"/>
        </w:rPr>
        <w:t>E</w:t>
      </w:r>
      <w:r>
        <w:rPr>
          <w:rFonts w:cs="Calibri"/>
        </w:rPr>
        <w:t>S</w:t>
      </w:r>
      <w:r w:rsidRPr="004B13F1">
        <w:rPr>
          <w:rFonts w:cs="Calibri"/>
          <w:vertAlign w:val="subscript"/>
        </w:rPr>
        <w:t>Tstat</w:t>
      </w:r>
      <w:r>
        <w:rPr>
          <w:rFonts w:cs="Calibri"/>
          <w:vertAlign w:val="subscript"/>
        </w:rPr>
        <w:t xml:space="preserve"> Replace</w:t>
      </w:r>
      <w:r>
        <w:rPr>
          <w:rFonts w:cs="Calibri"/>
        </w:rPr>
        <w:t xml:space="preserve"> are the unadjusted UES values from a thermostat replacement treatment and</w:t>
      </w:r>
    </w:p>
    <w:p w:rsidR="00D97AC6" w:rsidRPr="00B30BAF" w:rsidRDefault="00D97AC6" w:rsidP="00D97AC6">
      <w:pPr>
        <w:ind w:left="1440"/>
        <w:rPr>
          <w:rFonts w:cs="Calibri"/>
        </w:rPr>
      </w:pPr>
      <w:r>
        <w:rPr>
          <w:rFonts w:cs="Calibri"/>
        </w:rPr>
        <w:t>Total PGE Un-Adjusted U</w:t>
      </w:r>
      <w:r w:rsidR="002C52CC">
        <w:rPr>
          <w:rFonts w:cs="Calibri"/>
        </w:rPr>
        <w:t>E</w:t>
      </w:r>
      <w:r>
        <w:rPr>
          <w:rFonts w:cs="Calibri"/>
        </w:rPr>
        <w:t>S</w:t>
      </w:r>
      <w:r w:rsidRPr="004B13F1">
        <w:rPr>
          <w:rFonts w:cs="Calibri"/>
          <w:vertAlign w:val="subscript"/>
        </w:rPr>
        <w:t>Tstat</w:t>
      </w:r>
      <w:r>
        <w:rPr>
          <w:rFonts w:cs="Calibri"/>
          <w:vertAlign w:val="subscript"/>
        </w:rPr>
        <w:t xml:space="preserve"> Reprog</w:t>
      </w:r>
      <w:r>
        <w:rPr>
          <w:rFonts w:cs="Calibri"/>
        </w:rPr>
        <w:t xml:space="preserve"> are the unadjusted UES values from a thermostat reprogramming treatment.</w:t>
      </w:r>
    </w:p>
    <w:p w:rsidR="00D97AC6" w:rsidRDefault="00B65F48" w:rsidP="00D97AC6">
      <w:pPr>
        <w:ind w:left="720"/>
        <w:rPr>
          <w:rFonts w:cs="Calibri"/>
        </w:rPr>
      </w:pPr>
      <w:r>
        <w:rPr>
          <w:rFonts w:cs="Calibri"/>
        </w:rPr>
        <w:t>Equations 2 and 3 provide UES estimates for thermostat replacement and thermostat reprogramming from the overall weighted thermostat savings values.  The multipliers used in Equations 2 and 3 are applied to the PGE Un-Adjusted UES values via multipliers in cells D6 for the thermostat replacement measure and cell D7 for the thermostat reprogramming measure in the “</w:t>
      </w:r>
      <w:r w:rsidRPr="00B6172A">
        <w:rPr>
          <w:rFonts w:cs="Calibri"/>
          <w:i/>
        </w:rPr>
        <w:t>PGE Unadj Tstat</w:t>
      </w:r>
      <w:r>
        <w:rPr>
          <w:rFonts w:cs="Calibri"/>
          <w:i/>
        </w:rPr>
        <w:t>”</w:t>
      </w:r>
      <w:r>
        <w:rPr>
          <w:rFonts w:cs="Calibri"/>
        </w:rPr>
        <w:t xml:space="preserve"> tab of the workbook </w:t>
      </w:r>
      <w:r w:rsidRPr="004B5F0C">
        <w:t>“</w:t>
      </w:r>
      <w:r w:rsidRPr="004B5F0C">
        <w:rPr>
          <w:i/>
        </w:rPr>
        <w:t>20132014-CommercialHVACMaintenance-SavingsValues-</w:t>
      </w:r>
      <w:r w:rsidR="00DC3592">
        <w:rPr>
          <w:i/>
        </w:rPr>
        <w:t>April2013-v1-2</w:t>
      </w:r>
      <w:r w:rsidRPr="004B5F0C">
        <w:rPr>
          <w:i/>
        </w:rPr>
        <w:t>.xlsx</w:t>
      </w:r>
      <w:r>
        <w:rPr>
          <w:i/>
        </w:rPr>
        <w:t>.”</w:t>
      </w:r>
    </w:p>
    <w:p w:rsidR="00D97AC6" w:rsidRPr="00BD5804" w:rsidRDefault="00D97AC6" w:rsidP="00D97AC6">
      <w:pPr>
        <w:ind w:left="720"/>
        <w:rPr>
          <w:rFonts w:cs="Calibri"/>
          <w:u w:val="single"/>
        </w:rPr>
      </w:pPr>
      <w:r>
        <w:rPr>
          <w:rFonts w:cs="Calibri"/>
          <w:u w:val="single"/>
        </w:rPr>
        <w:t xml:space="preserve">SCE Unadjusted </w:t>
      </w:r>
      <w:r w:rsidRPr="00BD5804">
        <w:rPr>
          <w:rFonts w:cs="Calibri"/>
          <w:u w:val="single"/>
        </w:rPr>
        <w:t>U</w:t>
      </w:r>
      <w:r>
        <w:rPr>
          <w:rFonts w:cs="Calibri"/>
          <w:u w:val="single"/>
        </w:rPr>
        <w:t>E</w:t>
      </w:r>
      <w:r w:rsidRPr="00BD5804">
        <w:rPr>
          <w:rFonts w:cs="Calibri"/>
          <w:u w:val="single"/>
        </w:rPr>
        <w:t xml:space="preserve">S Values </w:t>
      </w:r>
    </w:p>
    <w:p w:rsidR="006E4260" w:rsidRDefault="00D97AC6" w:rsidP="006E4260">
      <w:pPr>
        <w:ind w:left="720"/>
        <w:rPr>
          <w:rFonts w:cs="Calibri"/>
        </w:rPr>
      </w:pPr>
      <w:r>
        <w:rPr>
          <w:rFonts w:cs="Calibri"/>
        </w:rPr>
        <w:t xml:space="preserve">Gross treatment UES values are provided in supporting documents to the SCE quality maintenance workpaper </w:t>
      </w:r>
      <w:r w:rsidRPr="00DF282D">
        <w:rPr>
          <w:rFonts w:cs="Calibri"/>
        </w:rPr>
        <w:t>SCE13HC037</w:t>
      </w:r>
      <w:r>
        <w:rPr>
          <w:rFonts w:cs="Calibri"/>
        </w:rPr>
        <w:t>.  Additional weightings associated with the assumed occurrence of each treatment are available.  This allows direct calculation of the</w:t>
      </w:r>
      <w:r w:rsidR="00B65F48">
        <w:rPr>
          <w:rFonts w:cs="Calibri"/>
        </w:rPr>
        <w:t>r</w:t>
      </w:r>
      <w:r>
        <w:rPr>
          <w:rFonts w:cs="Calibri"/>
        </w:rPr>
        <w:t xml:space="preserve">mostat </w:t>
      </w:r>
      <w:r>
        <w:rPr>
          <w:rFonts w:cs="Calibri"/>
        </w:rPr>
        <w:lastRenderedPageBreak/>
        <w:t>replacement and reprogramming unadjusted UES values.  The workpaper does not provide these values for specific building types.  Instead, prototypical building types are developed with U</w:t>
      </w:r>
      <w:r w:rsidR="00853B03">
        <w:rPr>
          <w:rFonts w:cs="Calibri"/>
        </w:rPr>
        <w:t>E</w:t>
      </w:r>
      <w:r>
        <w:rPr>
          <w:rFonts w:cs="Calibri"/>
        </w:rPr>
        <w:t>S values associated with each prototype</w:t>
      </w:r>
      <w:r w:rsidR="006E4260">
        <w:rPr>
          <w:rFonts w:cs="Calibri"/>
        </w:rPr>
        <w:t xml:space="preserve">, then those prototypes are mapped to DEER building types along with their associated savings. The complete expansion of the mapping of prototypical results to DEER building type is found in the </w:t>
      </w:r>
      <w:r w:rsidR="006E4260">
        <w:rPr>
          <w:rFonts w:cs="Calibri"/>
          <w:i/>
        </w:rPr>
        <w:t xml:space="preserve">“SCE Unadj Tstat” </w:t>
      </w:r>
      <w:r w:rsidR="006E4260">
        <w:rPr>
          <w:rFonts w:cs="Calibri"/>
        </w:rPr>
        <w:t xml:space="preserve"> tab of the workbook </w:t>
      </w:r>
      <w:r w:rsidR="006E4260" w:rsidRPr="004B5F0C">
        <w:t>“</w:t>
      </w:r>
      <w:r w:rsidR="006E4260" w:rsidRPr="004B5F0C">
        <w:rPr>
          <w:i/>
        </w:rPr>
        <w:t>20132014-CommercialHVACMaintenance-SavingsValues-</w:t>
      </w:r>
      <w:r w:rsidR="00DC3592">
        <w:rPr>
          <w:i/>
        </w:rPr>
        <w:t>April2013-v1-2</w:t>
      </w:r>
      <w:r w:rsidR="006E4260" w:rsidRPr="004B5F0C">
        <w:rPr>
          <w:i/>
        </w:rPr>
        <w:t>.xlsx</w:t>
      </w:r>
      <w:r w:rsidR="006E4260">
        <w:rPr>
          <w:i/>
        </w:rPr>
        <w:t>.”</w:t>
      </w:r>
    </w:p>
    <w:p w:rsidR="00D97AC6" w:rsidRDefault="00D97AC6" w:rsidP="005575F5">
      <w:pPr>
        <w:pStyle w:val="ListParagraph"/>
        <w:keepNext/>
        <w:numPr>
          <w:ilvl w:val="0"/>
          <w:numId w:val="23"/>
        </w:numPr>
        <w:contextualSpacing w:val="0"/>
        <w:rPr>
          <w:rFonts w:cs="Calibri"/>
          <w:b/>
          <w:bCs/>
          <w:u w:val="single"/>
        </w:rPr>
      </w:pPr>
      <w:r>
        <w:rPr>
          <w:rFonts w:cs="Calibri"/>
          <w:b/>
          <w:bCs/>
          <w:u w:val="single"/>
        </w:rPr>
        <w:t>UES Revisions:</w:t>
      </w:r>
    </w:p>
    <w:p w:rsidR="005C286F" w:rsidRDefault="005C286F" w:rsidP="005C286F">
      <w:pPr>
        <w:ind w:left="360"/>
        <w:rPr>
          <w:rFonts w:cs="Calibri"/>
        </w:rPr>
      </w:pPr>
      <w:r>
        <w:rPr>
          <w:rFonts w:cs="Calibri"/>
        </w:rPr>
        <w:t>Final UES values for thermostat measure</w:t>
      </w:r>
      <w:r w:rsidR="00F011B7">
        <w:rPr>
          <w:rFonts w:cs="Calibri"/>
        </w:rPr>
        <w:t>s</w:t>
      </w:r>
      <w:r>
        <w:rPr>
          <w:rFonts w:cs="Calibri"/>
        </w:rPr>
        <w:t xml:space="preserve"> are provided in the “</w:t>
      </w:r>
      <w:r w:rsidRPr="00B6172A">
        <w:rPr>
          <w:rFonts w:cs="Calibri"/>
          <w:i/>
        </w:rPr>
        <w:t>Overall TStat Savings</w:t>
      </w:r>
      <w:r>
        <w:rPr>
          <w:rFonts w:cs="Calibri"/>
          <w:i/>
        </w:rPr>
        <w:t>”</w:t>
      </w:r>
      <w:r>
        <w:rPr>
          <w:rFonts w:cs="Calibri"/>
        </w:rPr>
        <w:t xml:space="preserve"> tab of the</w:t>
      </w:r>
      <w:r w:rsidRPr="005C286F">
        <w:rPr>
          <w:rFonts w:cs="Calibri"/>
        </w:rPr>
        <w:t xml:space="preserve"> </w:t>
      </w:r>
      <w:r>
        <w:rPr>
          <w:rFonts w:cs="Calibri"/>
        </w:rPr>
        <w:t xml:space="preserve">workbook </w:t>
      </w:r>
      <w:r w:rsidRPr="004B5F0C">
        <w:t>“</w:t>
      </w:r>
      <w:r w:rsidRPr="004B5F0C">
        <w:rPr>
          <w:i/>
        </w:rPr>
        <w:t>20132014-CommercialHVACMaintenance-SavingsValues-</w:t>
      </w:r>
      <w:r w:rsidR="00DC3592">
        <w:rPr>
          <w:i/>
        </w:rPr>
        <w:t>April2013-v1-2</w:t>
      </w:r>
      <w:r w:rsidRPr="004B5F0C">
        <w:rPr>
          <w:i/>
        </w:rPr>
        <w:t>.xlsx</w:t>
      </w:r>
      <w:r>
        <w:rPr>
          <w:i/>
        </w:rPr>
        <w:t>.”</w:t>
      </w:r>
    </w:p>
    <w:p w:rsidR="00D97AC6" w:rsidRDefault="00D97AC6" w:rsidP="00D97AC6">
      <w:pPr>
        <w:ind w:left="360"/>
        <w:rPr>
          <w:rFonts w:cs="Calibri"/>
        </w:rPr>
      </w:pPr>
      <w:r>
        <w:rPr>
          <w:rFonts w:cs="Calibri"/>
        </w:rPr>
        <w:t xml:space="preserve">As noted previously, </w:t>
      </w:r>
      <w:r w:rsidR="00A560DA">
        <w:rPr>
          <w:rFonts w:cs="Calibri"/>
        </w:rPr>
        <w:t>Commission staff</w:t>
      </w:r>
      <w:r>
        <w:rPr>
          <w:rFonts w:cs="Calibri"/>
        </w:rPr>
        <w:t xml:space="preserve"> believes that the assumptions used to generate UES values are overly optimistic and/or are not being met by program implementation.  As an example, the savings associated </w:t>
      </w:r>
      <w:r w:rsidR="00853B03">
        <w:rPr>
          <w:rFonts w:cs="Calibri"/>
        </w:rPr>
        <w:t>with</w:t>
      </w:r>
      <w:r>
        <w:rPr>
          <w:rFonts w:cs="Calibri"/>
        </w:rPr>
        <w:t xml:space="preserve"> the replacement of a non-programmable thermostat with a programmable one assumes that</w:t>
      </w:r>
      <w:r w:rsidR="00853B03">
        <w:rPr>
          <w:rFonts w:cs="Calibri"/>
        </w:rPr>
        <w:t xml:space="preserve"> HVAC systems operate continuously</w:t>
      </w:r>
      <w:r>
        <w:rPr>
          <w:rFonts w:cs="Calibri"/>
        </w:rPr>
        <w:t xml:space="preserve"> because the existing thermostat has no time-clock control.  There is no evidence that this case</w:t>
      </w:r>
      <w:r w:rsidR="00853B03">
        <w:rPr>
          <w:rFonts w:cs="Calibri"/>
        </w:rPr>
        <w:t xml:space="preserve"> occurs</w:t>
      </w:r>
      <w:r>
        <w:rPr>
          <w:rFonts w:cs="Calibri"/>
        </w:rPr>
        <w:t xml:space="preserve"> and </w:t>
      </w:r>
      <w:r w:rsidR="00853B03">
        <w:rPr>
          <w:rFonts w:cs="Calibri"/>
        </w:rPr>
        <w:t xml:space="preserve">this </w:t>
      </w:r>
      <w:r>
        <w:rPr>
          <w:rFonts w:cs="Calibri"/>
        </w:rPr>
        <w:t xml:space="preserve">ignores the </w:t>
      </w:r>
      <w:r w:rsidR="00853B03">
        <w:rPr>
          <w:rFonts w:cs="Calibri"/>
        </w:rPr>
        <w:t xml:space="preserve">likely </w:t>
      </w:r>
      <w:r>
        <w:rPr>
          <w:rFonts w:cs="Calibri"/>
        </w:rPr>
        <w:t xml:space="preserve">possibility  that </w:t>
      </w:r>
      <w:r w:rsidR="00853B03">
        <w:rPr>
          <w:rFonts w:cs="Calibri"/>
        </w:rPr>
        <w:t xml:space="preserve">an </w:t>
      </w:r>
      <w:r>
        <w:rPr>
          <w:rFonts w:cs="Calibri"/>
        </w:rPr>
        <w:t>overriding time clock or manual operation prevents system operation during unoccupied periods.  HVAC system availability is common in lease agreements.  Overriding time clock controls are common in chain store establishments, education facilities</w:t>
      </w:r>
      <w:r w:rsidR="00853B03">
        <w:rPr>
          <w:rFonts w:cs="Calibri"/>
        </w:rPr>
        <w:t>,</w:t>
      </w:r>
      <w:r>
        <w:rPr>
          <w:rFonts w:cs="Calibri"/>
        </w:rPr>
        <w:t xml:space="preserve"> and many other building types.   Other facilities, groceries and some medical facilities for example, while included in savings estimates</w:t>
      </w:r>
      <w:r w:rsidR="00BD1B59">
        <w:rPr>
          <w:rFonts w:cs="Calibri"/>
        </w:rPr>
        <w:t>,</w:t>
      </w:r>
      <w:r>
        <w:rPr>
          <w:rFonts w:cs="Calibri"/>
        </w:rPr>
        <w:t xml:space="preserve"> may require continuous space conditioning.   Examples of the installation of programmable thermostats that were set up for continuous, fixed temperature space conditioning were observed as part of Work</w:t>
      </w:r>
      <w:r w:rsidR="00853B03">
        <w:rPr>
          <w:rFonts w:cs="Calibri"/>
        </w:rPr>
        <w:t xml:space="preserve"> </w:t>
      </w:r>
      <w:r>
        <w:rPr>
          <w:rFonts w:cs="Calibri"/>
        </w:rPr>
        <w:t xml:space="preserve">Order 32 EM&amp;V efforts.  </w:t>
      </w:r>
    </w:p>
    <w:p w:rsidR="00D97AC6" w:rsidRDefault="00D97AC6" w:rsidP="00D97AC6">
      <w:pPr>
        <w:ind w:left="360"/>
        <w:rPr>
          <w:rFonts w:cs="Calibri"/>
        </w:rPr>
      </w:pPr>
      <w:r>
        <w:rPr>
          <w:rFonts w:cs="Calibri"/>
        </w:rPr>
        <w:t xml:space="preserve">Thermostat re-programming has its own set of problems.  Problem areas include changing fan operation from intermittent to continuous during occupied periods as part of program requirements.  While this is necessary to meet code, it results in significant energy increases where the measure assumes an energy savings.  Similar negative impacts can occur if thermostats are set by program rule to cycle the system at the set-up/set-back temperature settings during unoccupied periods when an owner has scheduled the system off without regard to unoccupied temperatures.  The review of past thermostat claims identified a reprogramming claim for an unoccupied building that made these unnecessary changes.   Savings estimates also ignore the possibility of overriding time-clock controls that would make unoccupied setting changes moot.  </w:t>
      </w:r>
    </w:p>
    <w:p w:rsidR="00D97AC6" w:rsidRDefault="00D97AC6" w:rsidP="00D97AC6">
      <w:pPr>
        <w:ind w:left="360"/>
        <w:rPr>
          <w:rFonts w:cs="Calibri"/>
        </w:rPr>
      </w:pPr>
      <w:r>
        <w:rPr>
          <w:rFonts w:cs="Calibri"/>
        </w:rPr>
        <w:t xml:space="preserve">The overriding issue is that program assumptions used to develop UES values are not being used to constrain measure implementation.  As such, measure implementation can, and does, provide either no savings or negative savings.  This leads </w:t>
      </w:r>
      <w:r w:rsidR="00A560DA">
        <w:rPr>
          <w:rFonts w:cs="Calibri"/>
        </w:rPr>
        <w:t>staff</w:t>
      </w:r>
      <w:r>
        <w:rPr>
          <w:rFonts w:cs="Calibri"/>
        </w:rPr>
        <w:t xml:space="preserve"> to apply the following gross savings adjustment (GSA)</w:t>
      </w:r>
      <w:r w:rsidR="00BD1B59">
        <w:rPr>
          <w:rFonts w:cs="Calibri"/>
        </w:rPr>
        <w:t xml:space="preserve"> multipliers</w:t>
      </w:r>
      <w:r>
        <w:rPr>
          <w:rFonts w:cs="Calibri"/>
        </w:rPr>
        <w:t xml:space="preserve"> to un-adjusted savings:</w:t>
      </w:r>
    </w:p>
    <w:p w:rsidR="00D97AC6" w:rsidRPr="002E5B62" w:rsidRDefault="00D97AC6" w:rsidP="00D97AC6">
      <w:pPr>
        <w:keepNext/>
        <w:ind w:left="360"/>
        <w:jc w:val="right"/>
        <w:rPr>
          <w:rFonts w:cs="Calibri"/>
        </w:rPr>
      </w:pPr>
      <w:bookmarkStart w:id="4" w:name="_Ref348963438"/>
      <w:r>
        <w:rPr>
          <w:rFonts w:cs="Calibri"/>
        </w:rPr>
        <w:t>GSA</w:t>
      </w:r>
      <w:r w:rsidRPr="004B13F1">
        <w:rPr>
          <w:rFonts w:cs="Calibri"/>
          <w:vertAlign w:val="subscript"/>
        </w:rPr>
        <w:t>Tstat</w:t>
      </w:r>
      <w:r>
        <w:rPr>
          <w:rFonts w:cs="Calibri"/>
          <w:vertAlign w:val="subscript"/>
        </w:rPr>
        <w:t xml:space="preserve"> Replace</w:t>
      </w:r>
      <w:r>
        <w:rPr>
          <w:rFonts w:cs="Calibri"/>
        </w:rPr>
        <w:t xml:space="preserve"> </w:t>
      </w:r>
      <w:r w:rsidRPr="00B32752">
        <w:rPr>
          <w:rFonts w:cs="Calibri"/>
        </w:rPr>
        <w:t xml:space="preserve">= </w:t>
      </w:r>
      <w:r>
        <w:rPr>
          <w:rFonts w:cs="Calibri"/>
        </w:rPr>
        <w:t>* 0.2</w:t>
      </w:r>
      <w:r w:rsidRPr="00B32752">
        <w:rPr>
          <w:rFonts w:cs="Calibri"/>
        </w:rPr>
        <w:t>5</w:t>
      </w:r>
      <w:r>
        <w:t xml:space="preserve"> </w:t>
      </w:r>
      <w:r>
        <w:tab/>
        <w:t xml:space="preserve"> </w:t>
      </w:r>
      <w:r>
        <w:tab/>
      </w:r>
      <w:r w:rsidRPr="002E5B62">
        <w:rPr>
          <w:rFonts w:cs="Calibri"/>
        </w:rPr>
        <w:t xml:space="preserve">    </w:t>
      </w:r>
      <w:r>
        <w:rPr>
          <w:rFonts w:cs="Calibri"/>
        </w:rPr>
        <w:tab/>
      </w:r>
      <w:r>
        <w:rPr>
          <w:rFonts w:cs="Calibri"/>
        </w:rPr>
        <w:tab/>
      </w:r>
      <w:r>
        <w:rPr>
          <w:rFonts w:cs="Calibri"/>
        </w:rPr>
        <w:tab/>
      </w:r>
      <w:r w:rsidRPr="002E5B62">
        <w:rPr>
          <w:rFonts w:cs="Calibri"/>
        </w:rPr>
        <w:t xml:space="preserve">      (</w:t>
      </w:r>
      <w:bookmarkEnd w:id="4"/>
      <w:r>
        <w:rPr>
          <w:rFonts w:cs="Calibri"/>
        </w:rPr>
        <w:t>4</w:t>
      </w:r>
      <w:r w:rsidRPr="002E5B62">
        <w:rPr>
          <w:rFonts w:cs="Calibri"/>
        </w:rPr>
        <w:t>)</w:t>
      </w:r>
    </w:p>
    <w:p w:rsidR="00D97AC6" w:rsidRDefault="00D97AC6" w:rsidP="00D97AC6">
      <w:pPr>
        <w:ind w:left="360"/>
        <w:jc w:val="right"/>
        <w:rPr>
          <w:rFonts w:cs="Calibri"/>
        </w:rPr>
      </w:pPr>
      <w:r>
        <w:rPr>
          <w:rFonts w:cs="Calibri"/>
        </w:rPr>
        <w:t>GSA</w:t>
      </w:r>
      <w:r w:rsidRPr="004B13F1">
        <w:rPr>
          <w:rFonts w:cs="Calibri"/>
          <w:vertAlign w:val="subscript"/>
        </w:rPr>
        <w:t>Tstat</w:t>
      </w:r>
      <w:r>
        <w:rPr>
          <w:rFonts w:cs="Calibri"/>
          <w:vertAlign w:val="subscript"/>
        </w:rPr>
        <w:t xml:space="preserve"> Reprog</w:t>
      </w:r>
      <w:r>
        <w:rPr>
          <w:rFonts w:cs="Calibri"/>
        </w:rPr>
        <w:t xml:space="preserve"> </w:t>
      </w:r>
      <w:r w:rsidRPr="00B32752">
        <w:rPr>
          <w:rFonts w:cs="Calibri"/>
        </w:rPr>
        <w:t xml:space="preserve">= </w:t>
      </w:r>
      <w:r>
        <w:rPr>
          <w:rFonts w:cs="Calibri"/>
        </w:rPr>
        <w:t>* 0.</w:t>
      </w:r>
      <w:r w:rsidRPr="00B32752">
        <w:rPr>
          <w:rFonts w:cs="Calibri"/>
        </w:rPr>
        <w:t>5</w:t>
      </w:r>
      <w:r>
        <w:rPr>
          <w:rFonts w:cs="Calibri"/>
        </w:rPr>
        <w:t>0</w:t>
      </w:r>
      <w:r>
        <w:t xml:space="preserve"> </w:t>
      </w:r>
      <w:r>
        <w:tab/>
        <w:t xml:space="preserve"> </w:t>
      </w:r>
      <w:r>
        <w:tab/>
      </w:r>
      <w:r w:rsidRPr="002E5B62">
        <w:rPr>
          <w:rFonts w:cs="Calibri"/>
        </w:rPr>
        <w:t xml:space="preserve">    </w:t>
      </w:r>
      <w:r>
        <w:rPr>
          <w:rFonts w:cs="Calibri"/>
        </w:rPr>
        <w:tab/>
      </w:r>
      <w:r>
        <w:rPr>
          <w:rFonts w:cs="Calibri"/>
        </w:rPr>
        <w:tab/>
      </w:r>
      <w:r>
        <w:rPr>
          <w:rFonts w:cs="Calibri"/>
        </w:rPr>
        <w:tab/>
      </w:r>
      <w:r w:rsidRPr="002E5B62">
        <w:rPr>
          <w:rFonts w:cs="Calibri"/>
        </w:rPr>
        <w:t xml:space="preserve">      (</w:t>
      </w:r>
      <w:r>
        <w:rPr>
          <w:rFonts w:cs="Calibri"/>
        </w:rPr>
        <w:t>5</w:t>
      </w:r>
      <w:r w:rsidRPr="002E5B62">
        <w:rPr>
          <w:rFonts w:cs="Calibri"/>
        </w:rPr>
        <w:t>)</w:t>
      </w:r>
    </w:p>
    <w:p w:rsidR="00D97AC6" w:rsidRDefault="00D97AC6" w:rsidP="00D97AC6">
      <w:pPr>
        <w:ind w:left="360"/>
        <w:rPr>
          <w:rFonts w:cs="Calibri"/>
        </w:rPr>
      </w:pPr>
      <w:r>
        <w:rPr>
          <w:rFonts w:cs="Calibri"/>
        </w:rPr>
        <w:lastRenderedPageBreak/>
        <w:t>The 0.25 gross savings multiplier for the thermostat replacement measure is based on the assumption that uncontrolled HVAC system operation is uncommon.  It also recognizes a potential negative impact when manual control that allows no night-time unit operation is replaced by automatic control that would allow night-time operation.</w:t>
      </w:r>
    </w:p>
    <w:p w:rsidR="00D97AC6" w:rsidRDefault="00D97AC6" w:rsidP="00D97AC6">
      <w:pPr>
        <w:ind w:left="360"/>
        <w:rPr>
          <w:rFonts w:cs="Calibri"/>
        </w:rPr>
      </w:pPr>
      <w:r>
        <w:rPr>
          <w:rFonts w:cs="Calibri"/>
        </w:rPr>
        <w:t>The 0.50 gross savings multiplier for thermostat reprogramming accounts for potential negative impacts associated with sites that currently operate with occupied fans at their intermittent, rather than continuous, settings.  It also accounts for inappropriate thermostat set point changes like those noted for unoccupied buildings.</w:t>
      </w:r>
    </w:p>
    <w:p w:rsidR="00D97AC6" w:rsidRDefault="005C286F" w:rsidP="00D97AC6">
      <w:pPr>
        <w:ind w:left="360"/>
        <w:rPr>
          <w:rFonts w:cs="Calibri"/>
        </w:rPr>
      </w:pPr>
      <w:r w:rsidRPr="005C286F">
        <w:rPr>
          <w:rFonts w:cs="Calibri"/>
        </w:rPr>
        <w:t xml:space="preserve">Final UES values equal un-adjusted values times the respective adjustment in the “Overall TStat Savings” tab of the </w:t>
      </w:r>
      <w:r>
        <w:rPr>
          <w:rFonts w:cs="Calibri"/>
        </w:rPr>
        <w:t xml:space="preserve">workbook </w:t>
      </w:r>
      <w:r w:rsidRPr="004B5F0C">
        <w:t>“</w:t>
      </w:r>
      <w:r w:rsidRPr="004B5F0C">
        <w:rPr>
          <w:i/>
        </w:rPr>
        <w:t>20132014-CommercialHVACMaintenance-SavingsVa</w:t>
      </w:r>
      <w:r w:rsidR="005575F5">
        <w:rPr>
          <w:i/>
        </w:rPr>
        <w:t>lues-</w:t>
      </w:r>
      <w:r w:rsidR="00DC3592">
        <w:rPr>
          <w:i/>
        </w:rPr>
        <w:t>April2013-v1-2</w:t>
      </w:r>
      <w:r w:rsidRPr="004B5F0C">
        <w:rPr>
          <w:i/>
        </w:rPr>
        <w:t>.xlsx</w:t>
      </w:r>
      <w:r>
        <w:rPr>
          <w:i/>
        </w:rPr>
        <w:t>.”</w:t>
      </w:r>
      <w:r w:rsidRPr="005C286F">
        <w:rPr>
          <w:rFonts w:cs="Calibri"/>
        </w:rPr>
        <w:t xml:space="preserve"> Assumed savings multipliers provided in Equations 4 and 5 are clearly identified in </w:t>
      </w:r>
      <w:r w:rsidR="00C71C1C">
        <w:rPr>
          <w:rFonts w:cs="Calibri"/>
        </w:rPr>
        <w:t xml:space="preserve">the </w:t>
      </w:r>
      <w:r w:rsidRPr="005C286F">
        <w:rPr>
          <w:rFonts w:cs="Calibri"/>
        </w:rPr>
        <w:t>table at the top of the worksheet.</w:t>
      </w:r>
    </w:p>
    <w:p w:rsidR="00D97AC6" w:rsidRPr="007A661A" w:rsidRDefault="00D97AC6" w:rsidP="00D97AC6">
      <w:pPr>
        <w:ind w:left="360"/>
        <w:rPr>
          <w:rFonts w:cs="Calibri"/>
        </w:rPr>
      </w:pPr>
    </w:p>
    <w:p w:rsidR="00D97AC6" w:rsidRPr="007A661A" w:rsidRDefault="00D97AC6" w:rsidP="00D97AC6">
      <w:pPr>
        <w:ind w:left="360"/>
        <w:rPr>
          <w:rFonts w:cs="Calibri"/>
        </w:rPr>
      </w:pPr>
    </w:p>
    <w:p w:rsidR="004A4FCD" w:rsidRDefault="004A4FCD">
      <w:pPr>
        <w:spacing w:after="0" w:line="240" w:lineRule="auto"/>
      </w:pPr>
    </w:p>
    <w:p w:rsidR="00D97AC6" w:rsidRDefault="00D97AC6" w:rsidP="004A4FCD">
      <w:pPr>
        <w:rPr>
          <w:rFonts w:cs="Calibri"/>
          <w:b/>
          <w:bCs/>
          <w:u w:val="single"/>
        </w:rPr>
      </w:pPr>
      <w:r>
        <w:rPr>
          <w:rFonts w:cs="Calibri"/>
          <w:b/>
          <w:bCs/>
          <w:u w:val="single"/>
        </w:rPr>
        <w:br w:type="page"/>
      </w:r>
    </w:p>
    <w:p w:rsidR="004A4FCD" w:rsidRDefault="004A4FCD" w:rsidP="004A4FCD">
      <w:pPr>
        <w:rPr>
          <w:rFonts w:cs="Calibri"/>
          <w:b/>
          <w:bCs/>
          <w:u w:val="single"/>
        </w:rPr>
      </w:pPr>
      <w:r>
        <w:rPr>
          <w:rFonts w:cs="Calibri"/>
          <w:b/>
          <w:bCs/>
          <w:u w:val="single"/>
        </w:rPr>
        <w:lastRenderedPageBreak/>
        <w:t xml:space="preserve">Attachment C - </w:t>
      </w:r>
      <w:r w:rsidRPr="00960F10">
        <w:rPr>
          <w:rFonts w:cs="Calibri"/>
          <w:b/>
          <w:bCs/>
          <w:u w:val="single"/>
        </w:rPr>
        <w:t xml:space="preserve">Background for </w:t>
      </w:r>
      <w:r>
        <w:rPr>
          <w:rFonts w:cs="Calibri"/>
          <w:b/>
          <w:bCs/>
          <w:u w:val="single"/>
        </w:rPr>
        <w:t xml:space="preserve">Revised </w:t>
      </w:r>
      <w:r w:rsidR="00D97AC6">
        <w:rPr>
          <w:rFonts w:cs="Calibri"/>
          <w:b/>
          <w:bCs/>
          <w:u w:val="single"/>
        </w:rPr>
        <w:t>Economizer</w:t>
      </w:r>
      <w:r>
        <w:rPr>
          <w:rFonts w:cs="Calibri"/>
          <w:b/>
          <w:bCs/>
          <w:u w:val="single"/>
        </w:rPr>
        <w:t xml:space="preserve"> Measures</w:t>
      </w:r>
      <w:r w:rsidRPr="00960F10">
        <w:rPr>
          <w:rFonts w:cs="Calibri"/>
          <w:b/>
          <w:bCs/>
          <w:u w:val="single"/>
        </w:rPr>
        <w:t xml:space="preserve"> U</w:t>
      </w:r>
      <w:r w:rsidR="00C71C1C">
        <w:rPr>
          <w:rFonts w:cs="Calibri"/>
          <w:b/>
          <w:bCs/>
          <w:u w:val="single"/>
        </w:rPr>
        <w:t>E</w:t>
      </w:r>
      <w:r w:rsidRPr="00960F10">
        <w:rPr>
          <w:rFonts w:cs="Calibri"/>
          <w:b/>
          <w:bCs/>
          <w:u w:val="single"/>
        </w:rPr>
        <w:t>S Values:</w:t>
      </w:r>
    </w:p>
    <w:p w:rsidR="005C286F" w:rsidRDefault="005C286F" w:rsidP="005C286F">
      <w:pPr>
        <w:rPr>
          <w:rFonts w:cs="Calibri"/>
        </w:rPr>
      </w:pPr>
      <w:r>
        <w:rPr>
          <w:rFonts w:cs="Calibri"/>
        </w:rPr>
        <w:t xml:space="preserve">The workpaper categorizes economizer measures into three general </w:t>
      </w:r>
      <w:r w:rsidR="00C71C1C">
        <w:rPr>
          <w:rFonts w:cs="Calibri"/>
        </w:rPr>
        <w:t>treatments</w:t>
      </w:r>
      <w:r>
        <w:rPr>
          <w:rFonts w:cs="Calibri"/>
        </w:rPr>
        <w:t>:</w:t>
      </w:r>
    </w:p>
    <w:p w:rsidR="005C286F" w:rsidRDefault="005C286F" w:rsidP="009F25B5">
      <w:pPr>
        <w:numPr>
          <w:ilvl w:val="0"/>
          <w:numId w:val="14"/>
        </w:numPr>
        <w:spacing w:after="0"/>
        <w:rPr>
          <w:rFonts w:cs="Calibri"/>
        </w:rPr>
      </w:pPr>
      <w:r>
        <w:rPr>
          <w:rFonts w:cs="Calibri"/>
        </w:rPr>
        <w:t>Repair of a non-working economizer</w:t>
      </w:r>
    </w:p>
    <w:p w:rsidR="005C286F" w:rsidRDefault="005C286F" w:rsidP="009F25B5">
      <w:pPr>
        <w:numPr>
          <w:ilvl w:val="0"/>
          <w:numId w:val="14"/>
        </w:numPr>
        <w:spacing w:after="0"/>
        <w:rPr>
          <w:rFonts w:cs="Calibri"/>
        </w:rPr>
      </w:pPr>
      <w:r>
        <w:rPr>
          <w:rFonts w:cs="Calibri"/>
        </w:rPr>
        <w:t xml:space="preserve">Revision of control set-points to those that provide additional economizer operation (higher control set-points), and </w:t>
      </w:r>
    </w:p>
    <w:p w:rsidR="005C286F" w:rsidRDefault="005C286F" w:rsidP="005C286F">
      <w:pPr>
        <w:numPr>
          <w:ilvl w:val="0"/>
          <w:numId w:val="14"/>
        </w:numPr>
        <w:spacing w:after="120"/>
        <w:rPr>
          <w:rFonts w:cs="Calibri"/>
        </w:rPr>
      </w:pPr>
      <w:r>
        <w:rPr>
          <w:rFonts w:cs="Calibri"/>
        </w:rPr>
        <w:t>Economizer decommissioning.</w:t>
      </w:r>
    </w:p>
    <w:p w:rsidR="00D97AC6" w:rsidRDefault="004E739E" w:rsidP="00D97AC6">
      <w:pPr>
        <w:rPr>
          <w:rFonts w:cs="Calibri"/>
        </w:rPr>
      </w:pPr>
      <w:r>
        <w:rPr>
          <w:rFonts w:cs="Calibri"/>
        </w:rPr>
        <w:t xml:space="preserve">To develop approved savings values, </w:t>
      </w:r>
      <w:r w:rsidR="00AC3F3B">
        <w:rPr>
          <w:rFonts w:cs="Calibri"/>
        </w:rPr>
        <w:t xml:space="preserve">staff utilized </w:t>
      </w:r>
      <w:r w:rsidR="005C286F">
        <w:rPr>
          <w:rFonts w:cs="Calibri"/>
        </w:rPr>
        <w:t xml:space="preserve">IOU data as </w:t>
      </w:r>
      <w:r w:rsidR="00AC3F3B">
        <w:rPr>
          <w:rFonts w:cs="Calibri"/>
        </w:rPr>
        <w:t>described</w:t>
      </w:r>
      <w:r w:rsidR="005C286F">
        <w:rPr>
          <w:rFonts w:cs="Calibri"/>
        </w:rPr>
        <w:t xml:space="preserve"> in </w:t>
      </w:r>
      <w:r w:rsidR="00C71C1C">
        <w:rPr>
          <w:rFonts w:cs="Calibri"/>
        </w:rPr>
        <w:t>S</w:t>
      </w:r>
      <w:r w:rsidR="00AC3F3B">
        <w:rPr>
          <w:rFonts w:cs="Calibri"/>
        </w:rPr>
        <w:t>ection 1</w:t>
      </w:r>
      <w:r w:rsidR="00C71C1C">
        <w:rPr>
          <w:rFonts w:cs="Calibri"/>
        </w:rPr>
        <w:t>, IOU Proposed UES Values,</w:t>
      </w:r>
      <w:r w:rsidR="00AC3F3B">
        <w:rPr>
          <w:rFonts w:cs="Calibri"/>
        </w:rPr>
        <w:t xml:space="preserve"> adjusted as described</w:t>
      </w:r>
      <w:r w:rsidR="005C286F">
        <w:rPr>
          <w:rFonts w:cs="Calibri"/>
        </w:rPr>
        <w:t xml:space="preserve"> in </w:t>
      </w:r>
      <w:r w:rsidR="00C71C1C">
        <w:rPr>
          <w:rFonts w:cs="Calibri"/>
        </w:rPr>
        <w:t>S</w:t>
      </w:r>
      <w:r w:rsidR="005C286F">
        <w:rPr>
          <w:rFonts w:cs="Calibri"/>
        </w:rPr>
        <w:t>ection</w:t>
      </w:r>
      <w:r w:rsidR="00C71C1C">
        <w:rPr>
          <w:rFonts w:cs="Calibri"/>
        </w:rPr>
        <w:t>s</w:t>
      </w:r>
      <w:r w:rsidR="005C286F">
        <w:rPr>
          <w:rFonts w:cs="Calibri"/>
        </w:rPr>
        <w:t xml:space="preserve"> 2</w:t>
      </w:r>
      <w:r w:rsidR="00C71C1C">
        <w:rPr>
          <w:rFonts w:cs="Calibri"/>
        </w:rPr>
        <w:t xml:space="preserve"> and 3,</w:t>
      </w:r>
      <w:r w:rsidR="005C286F">
        <w:rPr>
          <w:rFonts w:cs="Calibri"/>
        </w:rPr>
        <w:t xml:space="preserve"> </w:t>
      </w:r>
      <w:r w:rsidR="00C71C1C">
        <w:rPr>
          <w:rFonts w:cs="Calibri"/>
        </w:rPr>
        <w:t>Commission Staff UES Revisions – Economizer Repair and Additional Staff Adjustments – SCE Economizer Control Measures, respectively</w:t>
      </w:r>
      <w:r w:rsidR="005C286F">
        <w:rPr>
          <w:rFonts w:cs="Calibri"/>
        </w:rPr>
        <w:t xml:space="preserve">.  Economizer decommissioning is not an acceptable measure, has been removed from the list of </w:t>
      </w:r>
      <w:r w:rsidR="00C71C1C">
        <w:rPr>
          <w:rFonts w:cs="Calibri"/>
        </w:rPr>
        <w:t>treatments</w:t>
      </w:r>
      <w:r w:rsidR="005C286F">
        <w:rPr>
          <w:rFonts w:cs="Calibri"/>
        </w:rPr>
        <w:t>, and has not been included in the UES values developed by staff.</w:t>
      </w:r>
      <w:r w:rsidR="00AC3F3B">
        <w:rPr>
          <w:rFonts w:cs="Calibri"/>
        </w:rPr>
        <w:t xml:space="preserve"> The measures</w:t>
      </w:r>
      <w:r w:rsidR="00D97AC6">
        <w:rPr>
          <w:rFonts w:cs="Calibri"/>
        </w:rPr>
        <w:t xml:space="preserve"> </w:t>
      </w:r>
      <w:r w:rsidR="00AC3F3B">
        <w:rPr>
          <w:rFonts w:cs="Calibri"/>
        </w:rPr>
        <w:t>“</w:t>
      </w:r>
      <w:r w:rsidR="00D97AC6">
        <w:rPr>
          <w:rFonts w:cs="Calibri"/>
        </w:rPr>
        <w:t>repair of non-working economizer</w:t>
      </w:r>
      <w:r w:rsidR="00AC3F3B">
        <w:rPr>
          <w:rFonts w:cs="Calibri"/>
        </w:rPr>
        <w:t>”</w:t>
      </w:r>
      <w:r w:rsidR="00D97AC6">
        <w:rPr>
          <w:rFonts w:cs="Calibri"/>
        </w:rPr>
        <w:t xml:space="preserve"> and </w:t>
      </w:r>
      <w:r w:rsidR="00AC3F3B">
        <w:rPr>
          <w:rFonts w:cs="Calibri"/>
        </w:rPr>
        <w:t>“</w:t>
      </w:r>
      <w:r w:rsidR="00D97AC6">
        <w:rPr>
          <w:rFonts w:cs="Calibri"/>
        </w:rPr>
        <w:t>economizer control upgrades</w:t>
      </w:r>
      <w:r w:rsidR="00AC3F3B">
        <w:rPr>
          <w:rFonts w:cs="Calibri"/>
        </w:rPr>
        <w:t>”</w:t>
      </w:r>
      <w:r w:rsidR="00D97AC6">
        <w:rPr>
          <w:rFonts w:cs="Calibri"/>
        </w:rPr>
        <w:t xml:space="preserve"> are acceptable </w:t>
      </w:r>
      <w:r w:rsidR="00C71C1C">
        <w:rPr>
          <w:rFonts w:cs="Calibri"/>
        </w:rPr>
        <w:t>treatments</w:t>
      </w:r>
      <w:r w:rsidR="00D97AC6">
        <w:rPr>
          <w:rFonts w:cs="Calibri"/>
        </w:rPr>
        <w:t>.  These measures are similar to DEER measures D03-058, which</w:t>
      </w:r>
      <w:r w:rsidR="00D97AC6" w:rsidRPr="00E17AE0">
        <w:rPr>
          <w:rFonts w:cs="Calibri"/>
        </w:rPr>
        <w:t xml:space="preserve"> </w:t>
      </w:r>
      <w:r w:rsidR="00EB6C22">
        <w:rPr>
          <w:rFonts w:cs="Calibri"/>
        </w:rPr>
        <w:t>provides the basis of the workpaper</w:t>
      </w:r>
      <w:r w:rsidR="00D97AC6">
        <w:rPr>
          <w:rFonts w:cs="Calibri"/>
        </w:rPr>
        <w:t xml:space="preserve"> UES values for the addition of an economizer, and </w:t>
      </w:r>
      <w:r w:rsidR="00D97AC6" w:rsidRPr="00E17AE0">
        <w:rPr>
          <w:rFonts w:cs="Calibri"/>
        </w:rPr>
        <w:t xml:space="preserve">D03-060 </w:t>
      </w:r>
      <w:r w:rsidR="00D97AC6">
        <w:rPr>
          <w:rFonts w:cs="Calibri"/>
        </w:rPr>
        <w:t>which represents an economizer repair</w:t>
      </w:r>
      <w:r w:rsidR="00AC3F3B">
        <w:rPr>
          <w:rFonts w:cs="Calibri"/>
        </w:rPr>
        <w:t xml:space="preserve"> and controls upgrade measure.</w:t>
      </w:r>
    </w:p>
    <w:p w:rsidR="00D97AC6" w:rsidRDefault="00D97AC6" w:rsidP="00D97AC6">
      <w:pPr>
        <w:rPr>
          <w:rFonts w:cs="Calibri"/>
        </w:rPr>
      </w:pPr>
      <w:r>
        <w:rPr>
          <w:rFonts w:cs="Calibri"/>
        </w:rPr>
        <w:t>The DEER values are problematic for a number of reasons.  The predominant issue has to do with the assumptions about the initial state of the unit under repair and the final state of the repaired economizer</w:t>
      </w:r>
      <w:r w:rsidR="00C71C1C">
        <w:rPr>
          <w:rFonts w:cs="Calibri"/>
        </w:rPr>
        <w:t>,</w:t>
      </w:r>
      <w:r>
        <w:rPr>
          <w:rFonts w:cs="Calibri"/>
        </w:rPr>
        <w:t xml:space="preserve"> in the case of the economizer repair measure.  The same issues arise on the economizer controls upgrades.  Many of these differences are based on reports of field activities incorporated into workpaper savings calculations but not available for inclusion into DEER analyses.  A second issue is that the DEER values do not cover the range of building types appropriate </w:t>
      </w:r>
      <w:r w:rsidR="00C71C1C">
        <w:rPr>
          <w:rFonts w:cs="Calibri"/>
        </w:rPr>
        <w:t xml:space="preserve">for </w:t>
      </w:r>
      <w:r>
        <w:rPr>
          <w:rFonts w:cs="Calibri"/>
        </w:rPr>
        <w:t xml:space="preserve">the </w:t>
      </w:r>
      <w:r w:rsidR="00C71C1C">
        <w:rPr>
          <w:rFonts w:cs="Calibri"/>
        </w:rPr>
        <w:t>QM</w:t>
      </w:r>
      <w:r>
        <w:rPr>
          <w:rFonts w:cs="Calibri"/>
        </w:rPr>
        <w:t xml:space="preserve"> programs.  This is especially the case for the D03-060 economizer controls upgrade measure.  In all, current DEER measure values are not usable as a base for U</w:t>
      </w:r>
      <w:r w:rsidR="00C71C1C">
        <w:rPr>
          <w:rFonts w:cs="Calibri"/>
        </w:rPr>
        <w:t>E</w:t>
      </w:r>
      <w:r>
        <w:rPr>
          <w:rFonts w:cs="Calibri"/>
        </w:rPr>
        <w:t xml:space="preserve">S values.  In reviewing available DEER measures and all associated workpapers, </w:t>
      </w:r>
      <w:r w:rsidR="00A560DA">
        <w:rPr>
          <w:rFonts w:cs="Calibri"/>
        </w:rPr>
        <w:t>staff</w:t>
      </w:r>
      <w:r>
        <w:rPr>
          <w:rFonts w:cs="Calibri"/>
        </w:rPr>
        <w:t xml:space="preserve"> makes its disposition based upon the following:  </w:t>
      </w:r>
    </w:p>
    <w:p w:rsidR="00D97AC6" w:rsidRDefault="00D97AC6" w:rsidP="00B177F7">
      <w:pPr>
        <w:numPr>
          <w:ilvl w:val="0"/>
          <w:numId w:val="29"/>
        </w:numPr>
        <w:spacing w:after="120"/>
        <w:rPr>
          <w:rFonts w:cs="Calibri"/>
        </w:rPr>
      </w:pPr>
      <w:r>
        <w:rPr>
          <w:rFonts w:cs="Calibri"/>
        </w:rPr>
        <w:t xml:space="preserve">Calculation methodologies provided in workpapers </w:t>
      </w:r>
      <w:r w:rsidRPr="00FE1812">
        <w:rPr>
          <w:rFonts w:cs="Calibri"/>
        </w:rPr>
        <w:t>PGECOHVC138</w:t>
      </w:r>
      <w:r>
        <w:rPr>
          <w:rFonts w:cs="Calibri"/>
        </w:rPr>
        <w:t xml:space="preserve"> and </w:t>
      </w:r>
      <w:r w:rsidRPr="00FE1812">
        <w:rPr>
          <w:rFonts w:cs="Calibri"/>
        </w:rPr>
        <w:t>SCE13HC037</w:t>
      </w:r>
      <w:r>
        <w:rPr>
          <w:rFonts w:cs="Calibri"/>
        </w:rPr>
        <w:t xml:space="preserve"> are adequate to establish initial gross UES values.  Savings estimates associated with these efforts serve as the basis for this disposition.  However, </w:t>
      </w:r>
      <w:r w:rsidR="00EB6C22">
        <w:rPr>
          <w:rFonts w:cs="Calibri"/>
        </w:rPr>
        <w:t xml:space="preserve">for future workpapers, </w:t>
      </w:r>
      <w:r w:rsidR="00A560DA">
        <w:rPr>
          <w:rFonts w:cs="Calibri"/>
        </w:rPr>
        <w:t>staff</w:t>
      </w:r>
      <w:r>
        <w:rPr>
          <w:rFonts w:cs="Calibri"/>
        </w:rPr>
        <w:t xml:space="preserve"> </w:t>
      </w:r>
      <w:r w:rsidR="00EB6C22">
        <w:rPr>
          <w:rFonts w:cs="Calibri"/>
        </w:rPr>
        <w:t xml:space="preserve">expects all </w:t>
      </w:r>
      <w:r>
        <w:rPr>
          <w:rFonts w:cs="Calibri"/>
        </w:rPr>
        <w:t xml:space="preserve">energy impacts </w:t>
      </w:r>
      <w:r w:rsidR="00EB6C22">
        <w:rPr>
          <w:rFonts w:cs="Calibri"/>
        </w:rPr>
        <w:t>to be</w:t>
      </w:r>
      <w:r>
        <w:rPr>
          <w:rFonts w:cs="Calibri"/>
        </w:rPr>
        <w:t xml:space="preserve"> based on a single calculation approach.  Th</w:t>
      </w:r>
      <w:r w:rsidR="00621C32">
        <w:rPr>
          <w:rFonts w:cs="Calibri"/>
        </w:rPr>
        <w:t>e approach</w:t>
      </w:r>
      <w:r>
        <w:rPr>
          <w:rFonts w:cs="Calibri"/>
        </w:rPr>
        <w:t xml:space="preserve"> used in workpaper </w:t>
      </w:r>
      <w:r w:rsidRPr="00FE1812">
        <w:rPr>
          <w:rFonts w:cs="Calibri"/>
        </w:rPr>
        <w:t>PGECOHVC138</w:t>
      </w:r>
      <w:r>
        <w:rPr>
          <w:rFonts w:cs="Calibri"/>
        </w:rPr>
        <w:t xml:space="preserve"> is preferred as it is based on established DEER building models and energy calculation approaches.  While savings values are accepted for this disposition, </w:t>
      </w:r>
      <w:r w:rsidR="00EB6C22">
        <w:rPr>
          <w:rFonts w:cs="Calibri"/>
        </w:rPr>
        <w:t xml:space="preserve">staff finds </w:t>
      </w:r>
      <w:r>
        <w:rPr>
          <w:rFonts w:cs="Calibri"/>
        </w:rPr>
        <w:t xml:space="preserve">the bin-analysis methodology used in workpaper </w:t>
      </w:r>
      <w:r w:rsidRPr="00FE1812">
        <w:rPr>
          <w:rFonts w:cs="Calibri"/>
        </w:rPr>
        <w:t>SCE13HC037</w:t>
      </w:r>
      <w:r w:rsidR="00EB6C22">
        <w:rPr>
          <w:rFonts w:cs="Calibri"/>
        </w:rPr>
        <w:t xml:space="preserve"> </w:t>
      </w:r>
      <w:r>
        <w:rPr>
          <w:rFonts w:cs="Calibri"/>
        </w:rPr>
        <w:t>to be lacking and should be replaced with a simulation approach based on established building models consistent with those used in DEER evaluations.</w:t>
      </w:r>
    </w:p>
    <w:p w:rsidR="00D97AC6" w:rsidRDefault="00D97AC6" w:rsidP="00B177F7">
      <w:pPr>
        <w:numPr>
          <w:ilvl w:val="0"/>
          <w:numId w:val="29"/>
        </w:numPr>
        <w:spacing w:after="120"/>
        <w:rPr>
          <w:rFonts w:cs="Calibri"/>
        </w:rPr>
      </w:pPr>
      <w:r>
        <w:rPr>
          <w:rFonts w:cs="Calibri"/>
        </w:rPr>
        <w:t xml:space="preserve">While the calculation methodologies used to determine measure savings are sound, </w:t>
      </w:r>
      <w:r w:rsidR="00A560DA">
        <w:rPr>
          <w:rFonts w:cs="Calibri"/>
        </w:rPr>
        <w:t>staff</w:t>
      </w:r>
      <w:r>
        <w:rPr>
          <w:rFonts w:cs="Calibri"/>
        </w:rPr>
        <w:t xml:space="preserve"> finds that many of the assumptions used in those calculations are optimistic.   This disposition will adjust savings based on discussions and data provided in the 2010-2012 dispositions and general </w:t>
      </w:r>
      <w:r>
        <w:rPr>
          <w:rFonts w:cs="Calibri"/>
        </w:rPr>
        <w:lastRenderedPageBreak/>
        <w:t>program observations (qualitative assessment only) of the ongoing EM&amp;V effort via Work</w:t>
      </w:r>
      <w:r w:rsidR="00621C32">
        <w:rPr>
          <w:rFonts w:cs="Calibri"/>
        </w:rPr>
        <w:t xml:space="preserve"> </w:t>
      </w:r>
      <w:r>
        <w:rPr>
          <w:rFonts w:cs="Calibri"/>
        </w:rPr>
        <w:t>Order 32.</w:t>
      </w:r>
    </w:p>
    <w:p w:rsidR="00D97AC6" w:rsidRPr="00B42C35" w:rsidRDefault="00EB6C22" w:rsidP="00EB6C22">
      <w:pPr>
        <w:pStyle w:val="ListParagraph"/>
        <w:keepNext/>
        <w:numPr>
          <w:ilvl w:val="0"/>
          <w:numId w:val="25"/>
        </w:numPr>
        <w:contextualSpacing w:val="0"/>
        <w:rPr>
          <w:rFonts w:cs="Calibri"/>
          <w:b/>
          <w:bCs/>
          <w:u w:val="single"/>
        </w:rPr>
      </w:pPr>
      <w:r>
        <w:rPr>
          <w:rFonts w:cs="Calibri"/>
          <w:b/>
          <w:bCs/>
          <w:u w:val="single"/>
        </w:rPr>
        <w:t>IOU Proposed UES Values</w:t>
      </w:r>
    </w:p>
    <w:p w:rsidR="00D97AC6" w:rsidRDefault="00D97AC6" w:rsidP="00D97AC6">
      <w:pPr>
        <w:ind w:left="360"/>
        <w:rPr>
          <w:rFonts w:cs="Calibri"/>
        </w:rPr>
      </w:pPr>
      <w:r>
        <w:rPr>
          <w:rFonts w:cs="Calibri"/>
        </w:rPr>
        <w:t xml:space="preserve">Data from the </w:t>
      </w:r>
      <w:r w:rsidRPr="00FE1812">
        <w:rPr>
          <w:rFonts w:cs="Calibri"/>
        </w:rPr>
        <w:t>PGECOHVC138</w:t>
      </w:r>
      <w:r>
        <w:rPr>
          <w:rFonts w:cs="Calibri"/>
        </w:rPr>
        <w:t xml:space="preserve"> and </w:t>
      </w:r>
      <w:r w:rsidRPr="00FE1812">
        <w:rPr>
          <w:rFonts w:cs="Calibri"/>
        </w:rPr>
        <w:t>SCE13HC037</w:t>
      </w:r>
      <w:r>
        <w:rPr>
          <w:rFonts w:cs="Calibri"/>
        </w:rPr>
        <w:t xml:space="preserve"> workpapers are used to provide un-adjusted gross energy impacts.  Program data and workpaper information is used to separate savings data into two general categories – repair of an existing economizer and economizer set-point controls re-programming.  </w:t>
      </w:r>
    </w:p>
    <w:p w:rsidR="00D97AC6" w:rsidRPr="00BD5804" w:rsidRDefault="00D97AC6" w:rsidP="00D97AC6">
      <w:pPr>
        <w:ind w:left="720"/>
        <w:rPr>
          <w:rFonts w:cs="Calibri"/>
          <w:u w:val="single"/>
        </w:rPr>
      </w:pPr>
      <w:r w:rsidRPr="00BD5804">
        <w:rPr>
          <w:rFonts w:cs="Calibri"/>
          <w:u w:val="single"/>
        </w:rPr>
        <w:t xml:space="preserve">PGE </w:t>
      </w:r>
      <w:r w:rsidR="00A1775A">
        <w:rPr>
          <w:rFonts w:cs="Calibri"/>
          <w:u w:val="single"/>
        </w:rPr>
        <w:t>UES</w:t>
      </w:r>
      <w:r w:rsidRPr="00BD5804">
        <w:rPr>
          <w:rFonts w:cs="Calibri"/>
          <w:u w:val="single"/>
        </w:rPr>
        <w:t xml:space="preserve"> Values </w:t>
      </w:r>
    </w:p>
    <w:p w:rsidR="00EB6C22" w:rsidRDefault="00EB6C22" w:rsidP="00EB6C22">
      <w:pPr>
        <w:ind w:left="720"/>
        <w:rPr>
          <w:rFonts w:cs="Calibri"/>
        </w:rPr>
      </w:pPr>
      <w:r>
        <w:rPr>
          <w:rFonts w:cs="Calibri"/>
        </w:rPr>
        <w:t xml:space="preserve">Staff used the </w:t>
      </w:r>
      <w:r w:rsidRPr="009D37B4">
        <w:rPr>
          <w:rFonts w:cs="Calibri"/>
        </w:rPr>
        <w:t>PGECOHVC138</w:t>
      </w:r>
      <w:r>
        <w:rPr>
          <w:rFonts w:cs="Calibri"/>
        </w:rPr>
        <w:t xml:space="preserve"> workpaper savings values as the starting point to develop final savings values. Based on data provided in the workpaper, economizer treatments are assumed to occur for 62.7</w:t>
      </w:r>
      <w:r w:rsidRPr="004B13F1">
        <w:rPr>
          <w:rFonts w:cs="Calibri"/>
        </w:rPr>
        <w:t>%</w:t>
      </w:r>
      <w:r>
        <w:rPr>
          <w:rFonts w:cs="Calibri"/>
        </w:rPr>
        <w:t xml:space="preserve"> of the systems.  Of those treatments, 30.7% (20.6% of all systems) are for controls upgrades and the remaining 59.3% (46.57% of all systems) are for economizer repairs.  </w:t>
      </w:r>
    </w:p>
    <w:p w:rsidR="00D97AC6" w:rsidRDefault="00D97AC6" w:rsidP="00D97AC6">
      <w:pPr>
        <w:ind w:left="720"/>
        <w:jc w:val="right"/>
        <w:rPr>
          <w:rFonts w:cs="Calibri"/>
        </w:rPr>
      </w:pPr>
      <w:r>
        <w:rPr>
          <w:rFonts w:cs="Calibri"/>
        </w:rPr>
        <w:t>WP Aggregate U</w:t>
      </w:r>
      <w:r w:rsidR="00621C32">
        <w:rPr>
          <w:rFonts w:cs="Calibri"/>
        </w:rPr>
        <w:t>E</w:t>
      </w:r>
      <w:r>
        <w:rPr>
          <w:rFonts w:cs="Calibri"/>
        </w:rPr>
        <w:t>S</w:t>
      </w:r>
      <w:r>
        <w:rPr>
          <w:rFonts w:cs="Calibri"/>
          <w:vertAlign w:val="subscript"/>
        </w:rPr>
        <w:t>Economizer</w:t>
      </w:r>
      <w:r>
        <w:rPr>
          <w:rFonts w:cs="Calibri"/>
        </w:rPr>
        <w:t xml:space="preserve"> = 0.4657 * WP U</w:t>
      </w:r>
      <w:r w:rsidR="00621C32">
        <w:rPr>
          <w:rFonts w:cs="Calibri"/>
        </w:rPr>
        <w:t>E</w:t>
      </w:r>
      <w:r>
        <w:rPr>
          <w:rFonts w:cs="Calibri"/>
        </w:rPr>
        <w:t>S</w:t>
      </w:r>
      <w:r>
        <w:rPr>
          <w:rFonts w:cs="Calibri"/>
          <w:vertAlign w:val="subscript"/>
        </w:rPr>
        <w:t>EconoRepair</w:t>
      </w:r>
      <w:r>
        <w:rPr>
          <w:rFonts w:cs="Calibri"/>
        </w:rPr>
        <w:t xml:space="preserve"> + 0.206 * </w:t>
      </w:r>
      <w:r>
        <w:rPr>
          <w:rFonts w:cs="Calibri"/>
        </w:rPr>
        <w:tab/>
        <w:t>WP U</w:t>
      </w:r>
      <w:r w:rsidR="00621C32">
        <w:rPr>
          <w:rFonts w:cs="Calibri"/>
        </w:rPr>
        <w:t>E</w:t>
      </w:r>
      <w:r>
        <w:rPr>
          <w:rFonts w:cs="Calibri"/>
        </w:rPr>
        <w:t>S</w:t>
      </w:r>
      <w:r>
        <w:rPr>
          <w:rFonts w:cs="Calibri"/>
          <w:vertAlign w:val="subscript"/>
        </w:rPr>
        <w:t>EconoContols</w:t>
      </w:r>
      <w:r>
        <w:rPr>
          <w:rFonts w:cs="Calibri"/>
        </w:rPr>
        <w:tab/>
        <w:t xml:space="preserve">   (1)</w:t>
      </w:r>
    </w:p>
    <w:p w:rsidR="00D97AC6" w:rsidRDefault="00D97AC6" w:rsidP="00D97AC6">
      <w:pPr>
        <w:ind w:left="1440"/>
        <w:rPr>
          <w:rFonts w:cs="Calibri"/>
        </w:rPr>
      </w:pPr>
      <w:r>
        <w:rPr>
          <w:rFonts w:cs="Calibri"/>
        </w:rPr>
        <w:t>where</w:t>
      </w:r>
    </w:p>
    <w:p w:rsidR="00D97AC6" w:rsidRDefault="00D97AC6" w:rsidP="00D97AC6">
      <w:pPr>
        <w:ind w:left="1440"/>
        <w:rPr>
          <w:rFonts w:cs="Calibri"/>
        </w:rPr>
      </w:pPr>
      <w:r>
        <w:rPr>
          <w:rFonts w:cs="Calibri"/>
        </w:rPr>
        <w:t>WP Aggregate U</w:t>
      </w:r>
      <w:r w:rsidR="00621C32">
        <w:rPr>
          <w:rFonts w:cs="Calibri"/>
        </w:rPr>
        <w:t>E</w:t>
      </w:r>
      <w:r>
        <w:rPr>
          <w:rFonts w:cs="Calibri"/>
        </w:rPr>
        <w:t>S</w:t>
      </w:r>
      <w:r>
        <w:rPr>
          <w:rFonts w:cs="Calibri"/>
          <w:vertAlign w:val="subscript"/>
        </w:rPr>
        <w:t>Economizer</w:t>
      </w:r>
      <w:r>
        <w:rPr>
          <w:rFonts w:cs="Calibri"/>
        </w:rPr>
        <w:t xml:space="preserve"> = the U</w:t>
      </w:r>
      <w:r w:rsidR="00621C32">
        <w:rPr>
          <w:rFonts w:cs="Calibri"/>
        </w:rPr>
        <w:t>E</w:t>
      </w:r>
      <w:r>
        <w:rPr>
          <w:rFonts w:cs="Calibri"/>
        </w:rPr>
        <w:t xml:space="preserve">S values for economizer measures from workpaper </w:t>
      </w:r>
      <w:r w:rsidRPr="00FE1812">
        <w:rPr>
          <w:rFonts w:cs="Calibri"/>
        </w:rPr>
        <w:t>PGECOHVC138</w:t>
      </w:r>
      <w:r>
        <w:rPr>
          <w:rFonts w:cs="Calibri"/>
        </w:rPr>
        <w:t>,</w:t>
      </w:r>
    </w:p>
    <w:p w:rsidR="00D97AC6" w:rsidRDefault="00D97AC6" w:rsidP="00D97AC6">
      <w:pPr>
        <w:ind w:left="1440"/>
        <w:rPr>
          <w:rFonts w:cs="Calibri"/>
        </w:rPr>
      </w:pPr>
      <w:r>
        <w:rPr>
          <w:rFonts w:cs="Calibri"/>
        </w:rPr>
        <w:t>WP Aggregate U</w:t>
      </w:r>
      <w:r w:rsidR="00621C32">
        <w:rPr>
          <w:rFonts w:cs="Calibri"/>
        </w:rPr>
        <w:t>E</w:t>
      </w:r>
      <w:r>
        <w:rPr>
          <w:rFonts w:cs="Calibri"/>
        </w:rPr>
        <w:t>S</w:t>
      </w:r>
      <w:r>
        <w:rPr>
          <w:rFonts w:cs="Calibri"/>
          <w:vertAlign w:val="subscript"/>
        </w:rPr>
        <w:t>EconoRepair</w:t>
      </w:r>
      <w:r>
        <w:rPr>
          <w:rFonts w:cs="Calibri"/>
        </w:rPr>
        <w:t xml:space="preserve"> = the U</w:t>
      </w:r>
      <w:r w:rsidR="00621C32">
        <w:rPr>
          <w:rFonts w:cs="Calibri"/>
        </w:rPr>
        <w:t>E</w:t>
      </w:r>
      <w:r>
        <w:rPr>
          <w:rFonts w:cs="Calibri"/>
        </w:rPr>
        <w:t>S values associated with economizer repair, and</w:t>
      </w:r>
    </w:p>
    <w:p w:rsidR="00D97AC6" w:rsidRDefault="00D97AC6" w:rsidP="00D97AC6">
      <w:pPr>
        <w:ind w:left="1440"/>
        <w:rPr>
          <w:rFonts w:cs="Calibri"/>
        </w:rPr>
      </w:pPr>
      <w:r>
        <w:rPr>
          <w:rFonts w:cs="Calibri"/>
        </w:rPr>
        <w:t>WP Aggregate U</w:t>
      </w:r>
      <w:r w:rsidR="00621C32">
        <w:rPr>
          <w:rFonts w:cs="Calibri"/>
        </w:rPr>
        <w:t>E</w:t>
      </w:r>
      <w:r>
        <w:rPr>
          <w:rFonts w:cs="Calibri"/>
        </w:rPr>
        <w:t>S</w:t>
      </w:r>
      <w:r>
        <w:rPr>
          <w:rFonts w:cs="Calibri"/>
          <w:vertAlign w:val="subscript"/>
        </w:rPr>
        <w:t>EconoControls</w:t>
      </w:r>
      <w:r>
        <w:rPr>
          <w:rFonts w:cs="Calibri"/>
        </w:rPr>
        <w:t xml:space="preserve"> = the U</w:t>
      </w:r>
      <w:r w:rsidR="00621C32">
        <w:rPr>
          <w:rFonts w:cs="Calibri"/>
        </w:rPr>
        <w:t>E</w:t>
      </w:r>
      <w:r>
        <w:rPr>
          <w:rFonts w:cs="Calibri"/>
        </w:rPr>
        <w:t>S values associated with economizer controls upgrades.</w:t>
      </w:r>
    </w:p>
    <w:p w:rsidR="00EB6C22" w:rsidRDefault="00EB6C22" w:rsidP="00EB6C22">
      <w:pPr>
        <w:ind w:left="720"/>
        <w:rPr>
          <w:rFonts w:cs="Calibri"/>
        </w:rPr>
      </w:pPr>
      <w:r>
        <w:rPr>
          <w:rFonts w:cs="Calibri"/>
        </w:rPr>
        <w:t>The U</w:t>
      </w:r>
      <w:r w:rsidR="00621C32">
        <w:rPr>
          <w:rFonts w:cs="Calibri"/>
        </w:rPr>
        <w:t>E</w:t>
      </w:r>
      <w:r>
        <w:rPr>
          <w:rFonts w:cs="Calibri"/>
        </w:rPr>
        <w:t>S values for economizer repair can be calculated from the total provided in the workpaper and controls upgrades EUS values from workpaper PGE3PHVC152 by,</w:t>
      </w:r>
    </w:p>
    <w:p w:rsidR="00D97AC6" w:rsidRDefault="00D97AC6" w:rsidP="00D97AC6">
      <w:pPr>
        <w:ind w:left="720"/>
        <w:jc w:val="right"/>
        <w:rPr>
          <w:rFonts w:cs="Calibri"/>
        </w:rPr>
      </w:pPr>
      <w:r>
        <w:rPr>
          <w:rFonts w:cs="Calibri"/>
        </w:rPr>
        <w:t>WP U</w:t>
      </w:r>
      <w:r w:rsidR="00621C32">
        <w:rPr>
          <w:rFonts w:cs="Calibri"/>
        </w:rPr>
        <w:t>E</w:t>
      </w:r>
      <w:r>
        <w:rPr>
          <w:rFonts w:cs="Calibri"/>
        </w:rPr>
        <w:t>S</w:t>
      </w:r>
      <w:r>
        <w:rPr>
          <w:rFonts w:cs="Calibri"/>
          <w:vertAlign w:val="subscript"/>
        </w:rPr>
        <w:t>EconoRepair</w:t>
      </w:r>
      <w:r>
        <w:rPr>
          <w:rFonts w:cs="Calibri"/>
        </w:rPr>
        <w:t xml:space="preserve"> = (WP Aggregate U</w:t>
      </w:r>
      <w:r w:rsidR="00621C32">
        <w:rPr>
          <w:rFonts w:cs="Calibri"/>
        </w:rPr>
        <w:t>E</w:t>
      </w:r>
      <w:r>
        <w:rPr>
          <w:rFonts w:cs="Calibri"/>
        </w:rPr>
        <w:t>S</w:t>
      </w:r>
      <w:r>
        <w:rPr>
          <w:rFonts w:cs="Calibri"/>
          <w:vertAlign w:val="subscript"/>
        </w:rPr>
        <w:t>Economizer</w:t>
      </w:r>
      <w:r>
        <w:rPr>
          <w:rFonts w:cs="Calibri"/>
        </w:rPr>
        <w:t xml:space="preserve"> - 0.206 * WP U</w:t>
      </w:r>
      <w:r w:rsidR="00621C32">
        <w:rPr>
          <w:rFonts w:cs="Calibri"/>
        </w:rPr>
        <w:t>E</w:t>
      </w:r>
      <w:r>
        <w:rPr>
          <w:rFonts w:cs="Calibri"/>
        </w:rPr>
        <w:t>S</w:t>
      </w:r>
      <w:r>
        <w:rPr>
          <w:rFonts w:cs="Calibri"/>
          <w:vertAlign w:val="subscript"/>
        </w:rPr>
        <w:t>EconoContols</w:t>
      </w:r>
      <w:r>
        <w:rPr>
          <w:rFonts w:cs="Calibri"/>
        </w:rPr>
        <w:t>)/0.4657</w:t>
      </w:r>
      <w:r>
        <w:rPr>
          <w:rFonts w:cs="Calibri"/>
        </w:rPr>
        <w:tab/>
        <w:t xml:space="preserve">         (2)</w:t>
      </w:r>
    </w:p>
    <w:p w:rsidR="00D97AC6" w:rsidRDefault="00EB6C22" w:rsidP="00D97AC6">
      <w:pPr>
        <w:ind w:left="720"/>
        <w:rPr>
          <w:rFonts w:cs="Calibri"/>
        </w:rPr>
      </w:pPr>
      <w:r>
        <w:rPr>
          <w:rFonts w:cs="Calibri"/>
        </w:rPr>
        <w:t>IOU-proposed U</w:t>
      </w:r>
      <w:r w:rsidR="00621C32">
        <w:rPr>
          <w:rFonts w:cs="Calibri"/>
        </w:rPr>
        <w:t>E</w:t>
      </w:r>
      <w:r>
        <w:rPr>
          <w:rFonts w:cs="Calibri"/>
        </w:rPr>
        <w:t xml:space="preserve">S values for all economizer treatments are provided in the </w:t>
      </w:r>
      <w:r w:rsidRPr="001E23AB">
        <w:rPr>
          <w:rFonts w:cs="Calibri"/>
        </w:rPr>
        <w:t>PGE-</w:t>
      </w:r>
      <w:r>
        <w:rPr>
          <w:rFonts w:cs="Calibri"/>
        </w:rPr>
        <w:t>“</w:t>
      </w:r>
      <w:r w:rsidRPr="001E23AB">
        <w:rPr>
          <w:rFonts w:cs="Calibri"/>
          <w:i/>
        </w:rPr>
        <w:t>ComHVACQMFromPGECOHVC138</w:t>
      </w:r>
      <w:r>
        <w:rPr>
          <w:rFonts w:cs="Calibri"/>
          <w:i/>
        </w:rPr>
        <w:t>”</w:t>
      </w:r>
      <w:r>
        <w:rPr>
          <w:rFonts w:cs="Calibri"/>
        </w:rPr>
        <w:t xml:space="preserve"> tab in the “</w:t>
      </w:r>
      <w:r w:rsidRPr="004B5F0C">
        <w:rPr>
          <w:i/>
        </w:rPr>
        <w:t>20132014-CommercialHVACMaintenance-SavingsVa</w:t>
      </w:r>
      <w:r>
        <w:rPr>
          <w:i/>
        </w:rPr>
        <w:t>lues-</w:t>
      </w:r>
      <w:r w:rsidR="00DC3592">
        <w:rPr>
          <w:i/>
        </w:rPr>
        <w:t>April2013-v1-2</w:t>
      </w:r>
      <w:r w:rsidRPr="004B5F0C">
        <w:rPr>
          <w:i/>
        </w:rPr>
        <w:t>.xlsx</w:t>
      </w:r>
      <w:r>
        <w:rPr>
          <w:rFonts w:cs="Calibri"/>
          <w:i/>
        </w:rPr>
        <w:t xml:space="preserve">” </w:t>
      </w:r>
      <w:r>
        <w:rPr>
          <w:rFonts w:cs="Calibri"/>
        </w:rPr>
        <w:t>UES workbook.  These UES values have a column heading of WEIGHTED ECONO SAVINGS for kWh, kW and therm UES values.  UES values associated with the PGE3PHVC152 workpaper are provided in the “</w:t>
      </w:r>
      <w:r w:rsidRPr="001E23AB">
        <w:rPr>
          <w:rFonts w:cs="Calibri"/>
          <w:i/>
        </w:rPr>
        <w:t>PGE-AdjEconoCtrlFromPGE3PHVC152</w:t>
      </w:r>
      <w:r>
        <w:rPr>
          <w:rFonts w:cs="Calibri"/>
        </w:rPr>
        <w:t>” tab of the workbook. Disaggregated repair and controls UES values are provided in the “</w:t>
      </w:r>
      <w:r w:rsidRPr="001E23AB">
        <w:rPr>
          <w:rFonts w:cs="Calibri"/>
          <w:i/>
        </w:rPr>
        <w:t>Overall Econo Savings</w:t>
      </w:r>
      <w:r>
        <w:rPr>
          <w:rFonts w:cs="Calibri"/>
          <w:i/>
        </w:rPr>
        <w:t>”</w:t>
      </w:r>
      <w:r>
        <w:rPr>
          <w:rFonts w:cs="Calibri"/>
        </w:rPr>
        <w:t xml:space="preserve"> tab of the workbook.  UES values are provided sequentially, with control upgrades following repairs.  The repair/control measure is identified in column B of the sheet.  The economizer repair values are calculated based on Equation 2 above, with the WP Aggregate U</w:t>
      </w:r>
      <w:r w:rsidR="00621C32">
        <w:rPr>
          <w:rFonts w:cs="Calibri"/>
        </w:rPr>
        <w:t>E</w:t>
      </w:r>
      <w:r>
        <w:rPr>
          <w:rFonts w:cs="Calibri"/>
        </w:rPr>
        <w:t>S</w:t>
      </w:r>
      <w:r w:rsidRPr="00306312">
        <w:rPr>
          <w:rFonts w:cs="Calibri"/>
          <w:vertAlign w:val="subscript"/>
        </w:rPr>
        <w:t>Economizer</w:t>
      </w:r>
      <w:r>
        <w:rPr>
          <w:rFonts w:cs="Calibri"/>
        </w:rPr>
        <w:t xml:space="preserve"> values taken from values in the “</w:t>
      </w:r>
      <w:r w:rsidRPr="001E23AB">
        <w:rPr>
          <w:rFonts w:cs="Calibri"/>
          <w:i/>
        </w:rPr>
        <w:t>ComHVACQMFromPGECOHVC138</w:t>
      </w:r>
      <w:r>
        <w:rPr>
          <w:rFonts w:cs="Calibri"/>
          <w:i/>
        </w:rPr>
        <w:t xml:space="preserve">” </w:t>
      </w:r>
      <w:r w:rsidRPr="00306312">
        <w:rPr>
          <w:rFonts w:cs="Calibri"/>
        </w:rPr>
        <w:t>worksheet</w:t>
      </w:r>
      <w:r>
        <w:rPr>
          <w:rFonts w:cs="Calibri"/>
        </w:rPr>
        <w:t xml:space="preserve"> and WP UES</w:t>
      </w:r>
      <w:r>
        <w:rPr>
          <w:rFonts w:cs="Calibri"/>
          <w:vertAlign w:val="subscript"/>
        </w:rPr>
        <w:t xml:space="preserve">EconoContols </w:t>
      </w:r>
      <w:r>
        <w:rPr>
          <w:rFonts w:cs="Calibri"/>
        </w:rPr>
        <w:t>values taken from the “</w:t>
      </w:r>
      <w:r w:rsidRPr="001E23AB">
        <w:rPr>
          <w:rFonts w:cs="Calibri"/>
          <w:i/>
        </w:rPr>
        <w:t>PGE-AdjEconoCtrlFromPGE3PHVC152</w:t>
      </w:r>
      <w:r>
        <w:rPr>
          <w:rFonts w:cs="Calibri"/>
        </w:rPr>
        <w:t>” worksheet.</w:t>
      </w:r>
      <w:r w:rsidR="00D97AC6">
        <w:rPr>
          <w:rFonts w:cs="Calibri"/>
        </w:rPr>
        <w:t xml:space="preserve">  </w:t>
      </w:r>
    </w:p>
    <w:p w:rsidR="00D97AC6" w:rsidRPr="00BD5804" w:rsidRDefault="00D97AC6" w:rsidP="00DC3CCA">
      <w:pPr>
        <w:keepNext/>
        <w:ind w:left="720"/>
        <w:rPr>
          <w:rFonts w:cs="Calibri"/>
          <w:u w:val="single"/>
        </w:rPr>
      </w:pPr>
      <w:r>
        <w:rPr>
          <w:rFonts w:cs="Calibri"/>
          <w:u w:val="single"/>
        </w:rPr>
        <w:lastRenderedPageBreak/>
        <w:t xml:space="preserve">SCE </w:t>
      </w:r>
      <w:r w:rsidRPr="00BD5804">
        <w:rPr>
          <w:rFonts w:cs="Calibri"/>
          <w:u w:val="single"/>
        </w:rPr>
        <w:t>U</w:t>
      </w:r>
      <w:r>
        <w:rPr>
          <w:rFonts w:cs="Calibri"/>
          <w:u w:val="single"/>
        </w:rPr>
        <w:t>E</w:t>
      </w:r>
      <w:r w:rsidRPr="00BD5804">
        <w:rPr>
          <w:rFonts w:cs="Calibri"/>
          <w:u w:val="single"/>
        </w:rPr>
        <w:t xml:space="preserve">S Values </w:t>
      </w:r>
    </w:p>
    <w:p w:rsidR="00D97AC6" w:rsidRDefault="00D97AC6" w:rsidP="004A5397">
      <w:pPr>
        <w:ind w:left="720"/>
        <w:rPr>
          <w:rFonts w:cs="Calibri"/>
        </w:rPr>
      </w:pPr>
      <w:r>
        <w:rPr>
          <w:rFonts w:cs="Calibri"/>
        </w:rPr>
        <w:t xml:space="preserve">Gross treatment UES values are provided in supporting documents to the SCE </w:t>
      </w:r>
      <w:r w:rsidR="00621C32">
        <w:rPr>
          <w:rFonts w:cs="Calibri"/>
        </w:rPr>
        <w:t>QM</w:t>
      </w:r>
      <w:r>
        <w:rPr>
          <w:rFonts w:cs="Calibri"/>
        </w:rPr>
        <w:t xml:space="preserve"> workpaper </w:t>
      </w:r>
      <w:r w:rsidRPr="00DF282D">
        <w:rPr>
          <w:rFonts w:cs="Calibri"/>
        </w:rPr>
        <w:t>SCE13HC037</w:t>
      </w:r>
      <w:r>
        <w:rPr>
          <w:rFonts w:cs="Calibri"/>
        </w:rPr>
        <w:t>.  Data for economizer repairs are taken directly from the worksheet</w:t>
      </w:r>
      <w:r w:rsidR="000C2E38">
        <w:rPr>
          <w:rFonts w:cs="Calibri"/>
        </w:rPr>
        <w:t>s</w:t>
      </w:r>
      <w:r>
        <w:rPr>
          <w:rFonts w:cs="Calibri"/>
        </w:rPr>
        <w:t xml:space="preserve"> </w:t>
      </w:r>
      <w:r w:rsidRPr="00DF5E44">
        <w:rPr>
          <w:rFonts w:cs="Calibri"/>
          <w:i/>
        </w:rPr>
        <w:t>SCE-Funcr-Eono.xls</w:t>
      </w:r>
      <w:r>
        <w:rPr>
          <w:rFonts w:cs="Calibri"/>
        </w:rPr>
        <w:t xml:space="preserve"> for economizer repairs and </w:t>
      </w:r>
      <w:r w:rsidRPr="00DF5E44">
        <w:rPr>
          <w:rFonts w:cs="Calibri"/>
          <w:i/>
        </w:rPr>
        <w:t>SCE-Econo-Adj</w:t>
      </w:r>
      <w:r w:rsidR="000C2E38">
        <w:rPr>
          <w:rFonts w:cs="Calibri"/>
          <w:i/>
        </w:rPr>
        <w:t>-JP</w:t>
      </w:r>
      <w:r w:rsidRPr="00DF5E44">
        <w:rPr>
          <w:rFonts w:cs="Calibri"/>
          <w:i/>
        </w:rPr>
        <w:t>.xls</w:t>
      </w:r>
      <w:r>
        <w:rPr>
          <w:rFonts w:cs="Calibri"/>
        </w:rPr>
        <w:t xml:space="preserve"> for economizer controls. The values used in this analysis are those that have not been weighted by assumed system efficiency degradation, but are for base efficiency systems.  </w:t>
      </w:r>
      <w:r w:rsidR="000C2E38">
        <w:rPr>
          <w:rFonts w:cs="Calibri"/>
        </w:rPr>
        <w:t>Staff</w:t>
      </w:r>
      <w:r>
        <w:rPr>
          <w:rFonts w:cs="Calibri"/>
        </w:rPr>
        <w:t xml:space="preserve"> believes the overall degradation assumes an excessively high number of degraded units and greater than anticipated efficiency degradation.  In addition, U</w:t>
      </w:r>
      <w:r w:rsidR="00621C32">
        <w:rPr>
          <w:rFonts w:cs="Calibri"/>
        </w:rPr>
        <w:t>E</w:t>
      </w:r>
      <w:r>
        <w:rPr>
          <w:rFonts w:cs="Calibri"/>
        </w:rPr>
        <w:t>S estimates make assumptions about the fixed open damper position prior to r</w:t>
      </w:r>
      <w:r w:rsidR="000C2E38">
        <w:rPr>
          <w:rFonts w:cs="Calibri"/>
        </w:rPr>
        <w:t xml:space="preserve">epair that are not well supported. </w:t>
      </w:r>
      <w:r>
        <w:rPr>
          <w:rFonts w:cs="Calibri"/>
        </w:rPr>
        <w:t>The workpaper does not provide these values for specific building types.  Instead, prototypical building types are developed with U</w:t>
      </w:r>
      <w:r w:rsidR="00621C32">
        <w:rPr>
          <w:rFonts w:cs="Calibri"/>
        </w:rPr>
        <w:t>E</w:t>
      </w:r>
      <w:r>
        <w:rPr>
          <w:rFonts w:cs="Calibri"/>
        </w:rPr>
        <w:t>S values associated with each prototype.  They are then applied to those building types associated with each prototypical building.</w:t>
      </w:r>
      <w:r w:rsidR="00857A40">
        <w:rPr>
          <w:rFonts w:cs="Calibri"/>
        </w:rPr>
        <w:t xml:space="preserve"> Staff has performed the full expansions of this mapping to create SCE unadjusted savings for both economizer treatment. These expanded savings values are included in the </w:t>
      </w:r>
      <w:r w:rsidR="00857A40">
        <w:rPr>
          <w:rFonts w:cs="Calibri"/>
          <w:i/>
        </w:rPr>
        <w:t>“</w:t>
      </w:r>
      <w:r w:rsidR="00857A40" w:rsidRPr="00857A40">
        <w:rPr>
          <w:rFonts w:cs="Calibri"/>
          <w:i/>
        </w:rPr>
        <w:t>SCE Econo Savings</w:t>
      </w:r>
      <w:r w:rsidR="00857A40">
        <w:rPr>
          <w:rFonts w:cs="Calibri"/>
          <w:i/>
        </w:rPr>
        <w:t>”</w:t>
      </w:r>
      <w:r w:rsidR="00857A40">
        <w:rPr>
          <w:rFonts w:cs="Calibri"/>
        </w:rPr>
        <w:t xml:space="preserve"> tab of the workbook “</w:t>
      </w:r>
      <w:r w:rsidR="00857A40" w:rsidRPr="004B5F0C">
        <w:rPr>
          <w:i/>
        </w:rPr>
        <w:t>20132014-CommercialHVACMaintenance-SavingsVa</w:t>
      </w:r>
      <w:r w:rsidR="00857A40">
        <w:rPr>
          <w:i/>
        </w:rPr>
        <w:t>lues-</w:t>
      </w:r>
      <w:r w:rsidR="00DC3592">
        <w:rPr>
          <w:i/>
        </w:rPr>
        <w:t>April2013-v1-2</w:t>
      </w:r>
      <w:r w:rsidR="00857A40" w:rsidRPr="004B5F0C">
        <w:rPr>
          <w:i/>
        </w:rPr>
        <w:t>.xlsx</w:t>
      </w:r>
      <w:r w:rsidR="00857A40">
        <w:rPr>
          <w:i/>
        </w:rPr>
        <w:t>.</w:t>
      </w:r>
      <w:r w:rsidR="00857A40">
        <w:rPr>
          <w:rFonts w:cs="Calibri"/>
          <w:i/>
        </w:rPr>
        <w:t>”</w:t>
      </w:r>
    </w:p>
    <w:p w:rsidR="00D97AC6" w:rsidRDefault="00A1775A" w:rsidP="00A1775A">
      <w:pPr>
        <w:pStyle w:val="ListParagraph"/>
        <w:keepNext/>
        <w:numPr>
          <w:ilvl w:val="0"/>
          <w:numId w:val="26"/>
        </w:numPr>
        <w:contextualSpacing w:val="0"/>
        <w:rPr>
          <w:rFonts w:cs="Calibri"/>
          <w:b/>
          <w:bCs/>
          <w:u w:val="single"/>
        </w:rPr>
      </w:pPr>
      <w:r>
        <w:rPr>
          <w:rFonts w:cs="Calibri"/>
          <w:b/>
          <w:bCs/>
          <w:u w:val="single"/>
        </w:rPr>
        <w:t>Commission Staff</w:t>
      </w:r>
      <w:r w:rsidR="00D97AC6">
        <w:rPr>
          <w:rFonts w:cs="Calibri"/>
          <w:b/>
          <w:bCs/>
          <w:u w:val="single"/>
        </w:rPr>
        <w:t xml:space="preserve"> UES Revisions – Economizer Repair:</w:t>
      </w:r>
    </w:p>
    <w:p w:rsidR="004A5397" w:rsidRDefault="004A5397" w:rsidP="004A5397">
      <w:pPr>
        <w:ind w:left="360"/>
        <w:rPr>
          <w:rFonts w:cs="Calibri"/>
        </w:rPr>
      </w:pPr>
      <w:r>
        <w:rPr>
          <w:rFonts w:cs="Calibri"/>
        </w:rPr>
        <w:t>Energy Division staff adjustment</w:t>
      </w:r>
      <w:r w:rsidR="00621C32">
        <w:rPr>
          <w:rFonts w:cs="Calibri"/>
        </w:rPr>
        <w:t>s</w:t>
      </w:r>
      <w:r>
        <w:rPr>
          <w:rFonts w:cs="Calibri"/>
        </w:rPr>
        <w:t xml:space="preserve"> to IOU UES estimates are made in the “</w:t>
      </w:r>
      <w:r w:rsidRPr="001E23AB">
        <w:rPr>
          <w:rFonts w:cs="Calibri"/>
          <w:i/>
        </w:rPr>
        <w:t>Overall Econo Savings</w:t>
      </w:r>
      <w:r>
        <w:rPr>
          <w:rFonts w:cs="Calibri"/>
          <w:i/>
        </w:rPr>
        <w:t>”</w:t>
      </w:r>
      <w:r>
        <w:rPr>
          <w:rFonts w:cs="Calibri"/>
        </w:rPr>
        <w:t xml:space="preserve"> tab of the “</w:t>
      </w:r>
      <w:r w:rsidR="00DC3CCA" w:rsidRPr="004B5F0C">
        <w:rPr>
          <w:i/>
        </w:rPr>
        <w:t>20132014-CommercialHVACMaintenance-SavingsVa</w:t>
      </w:r>
      <w:r w:rsidR="00DC3CCA">
        <w:rPr>
          <w:i/>
        </w:rPr>
        <w:t>lues-</w:t>
      </w:r>
      <w:r w:rsidR="00DC3592">
        <w:rPr>
          <w:i/>
        </w:rPr>
        <w:t>April2013-v1-2</w:t>
      </w:r>
      <w:r w:rsidR="00DC3CCA" w:rsidRPr="004B5F0C">
        <w:rPr>
          <w:i/>
        </w:rPr>
        <w:t>.xlsx</w:t>
      </w:r>
      <w:r>
        <w:rPr>
          <w:rFonts w:cs="Calibri"/>
          <w:i/>
        </w:rPr>
        <w:t xml:space="preserve">” </w:t>
      </w:r>
      <w:r>
        <w:rPr>
          <w:rFonts w:cs="Calibri"/>
        </w:rPr>
        <w:t>UES workbook.  These adjustments are applied only to the economizer repair UES values.  They include an energy saving</w:t>
      </w:r>
      <w:r w:rsidR="00621C32">
        <w:rPr>
          <w:rFonts w:cs="Calibri"/>
        </w:rPr>
        <w:t>s</w:t>
      </w:r>
      <w:r>
        <w:rPr>
          <w:rFonts w:cs="Calibri"/>
        </w:rPr>
        <w:t xml:space="preserve"> multiplier of 0.5</w:t>
      </w:r>
      <w:r w:rsidR="00621C32">
        <w:rPr>
          <w:rFonts w:cs="Calibri"/>
        </w:rPr>
        <w:t>,</w:t>
      </w:r>
      <w:r>
        <w:rPr>
          <w:rFonts w:cs="Calibri"/>
        </w:rPr>
        <w:t xml:space="preserve"> as noted in cell I6 of the worksheet and a demand offset of </w:t>
      </w:r>
      <w:r w:rsidRPr="00230961">
        <w:rPr>
          <w:rFonts w:cs="Calibri"/>
        </w:rPr>
        <w:t>-0.0238</w:t>
      </w:r>
      <w:r>
        <w:rPr>
          <w:rFonts w:cs="Calibri"/>
        </w:rPr>
        <w:t xml:space="preserve"> kW/ton</w:t>
      </w:r>
      <w:r w:rsidR="00621C32">
        <w:rPr>
          <w:rFonts w:cs="Calibri"/>
        </w:rPr>
        <w:t>,</w:t>
      </w:r>
      <w:r>
        <w:rPr>
          <w:rFonts w:cs="Calibri"/>
        </w:rPr>
        <w:t xml:space="preserve"> </w:t>
      </w:r>
      <w:r w:rsidR="00621C32">
        <w:rPr>
          <w:rFonts w:cs="Calibri"/>
        </w:rPr>
        <w:t xml:space="preserve">as noted </w:t>
      </w:r>
      <w:r>
        <w:rPr>
          <w:rFonts w:cs="Calibri"/>
        </w:rPr>
        <w:t>in cell H10.</w:t>
      </w:r>
    </w:p>
    <w:p w:rsidR="004A5397" w:rsidRDefault="004A5397" w:rsidP="004A5397">
      <w:pPr>
        <w:ind w:left="360"/>
        <w:rPr>
          <w:rFonts w:cs="Calibri"/>
        </w:rPr>
      </w:pPr>
      <w:r>
        <w:rPr>
          <w:rFonts w:cs="Calibri"/>
        </w:rPr>
        <w:t xml:space="preserve">The adjustments to economizer repairs are made to account for what </w:t>
      </w:r>
      <w:r w:rsidR="00621C32">
        <w:rPr>
          <w:rFonts w:cs="Calibri"/>
        </w:rPr>
        <w:t>Commission</w:t>
      </w:r>
      <w:r>
        <w:rPr>
          <w:rFonts w:cs="Calibri"/>
        </w:rPr>
        <w:t xml:space="preserve"> staff </w:t>
      </w:r>
      <w:r w:rsidR="00621C32">
        <w:rPr>
          <w:rFonts w:cs="Calibri"/>
        </w:rPr>
        <w:t>finds</w:t>
      </w:r>
      <w:r>
        <w:rPr>
          <w:rFonts w:cs="Calibri"/>
        </w:rPr>
        <w:t xml:space="preserve"> </w:t>
      </w:r>
      <w:r w:rsidR="00621C32">
        <w:rPr>
          <w:rFonts w:cs="Calibri"/>
        </w:rPr>
        <w:t>are</w:t>
      </w:r>
      <w:r>
        <w:rPr>
          <w:rFonts w:cs="Calibri"/>
        </w:rPr>
        <w:t xml:space="preserve"> inappropriate baseline assumptions used by the IOU in establishing UES values. The economizer repair UES values do not account for the possibility that the economizer failed state was a closed outside air damper prior to treatment.   </w:t>
      </w:r>
      <w:r w:rsidR="00FD77B0">
        <w:rPr>
          <w:rFonts w:cs="Calibri"/>
        </w:rPr>
        <w:t>Commission</w:t>
      </w:r>
      <w:r>
        <w:rPr>
          <w:rFonts w:cs="Calibri"/>
        </w:rPr>
        <w:t xml:space="preserve"> staff noted a</w:t>
      </w:r>
      <w:r w:rsidRPr="00931054">
        <w:rPr>
          <w:rFonts w:cs="Calibri"/>
        </w:rPr>
        <w:t xml:space="preserve"> 2001 study by Felts</w:t>
      </w:r>
      <w:r>
        <w:rPr>
          <w:rStyle w:val="FootnoteReference"/>
          <w:rFonts w:cs="Calibri"/>
        </w:rPr>
        <w:footnoteReference w:id="1"/>
      </w:r>
      <w:r w:rsidRPr="00931054">
        <w:rPr>
          <w:rFonts w:cs="Calibri"/>
        </w:rPr>
        <w:t xml:space="preserve"> of 250 packaged systems </w:t>
      </w:r>
      <w:r>
        <w:rPr>
          <w:rFonts w:cs="Calibri"/>
        </w:rPr>
        <w:t xml:space="preserve">that </w:t>
      </w:r>
      <w:r w:rsidRPr="00931054">
        <w:rPr>
          <w:rFonts w:cs="Calibri"/>
        </w:rPr>
        <w:t>found that 40% of non-functional economizers were stuck closed (no outside air).</w:t>
      </w:r>
      <w:r>
        <w:rPr>
          <w:rFonts w:cs="Calibri"/>
        </w:rPr>
        <w:t xml:space="preserve">  The repair of these systems typically result</w:t>
      </w:r>
      <w:r w:rsidR="00FD77B0">
        <w:rPr>
          <w:rFonts w:cs="Calibri"/>
        </w:rPr>
        <w:t>s</w:t>
      </w:r>
      <w:r>
        <w:rPr>
          <w:rFonts w:cs="Calibri"/>
        </w:rPr>
        <w:t xml:space="preserve"> in increased energy use and most certainly increase cooling system peak electric demand due to increased outside air </w:t>
      </w:r>
      <w:r w:rsidR="00FD77B0">
        <w:rPr>
          <w:rFonts w:cs="Calibri"/>
        </w:rPr>
        <w:t>supply</w:t>
      </w:r>
      <w:r>
        <w:rPr>
          <w:rFonts w:cs="Calibri"/>
        </w:rPr>
        <w:t xml:space="preserve">.  </w:t>
      </w:r>
      <w:r w:rsidR="00FD77B0">
        <w:rPr>
          <w:rFonts w:cs="Calibri"/>
        </w:rPr>
        <w:t>Commission</w:t>
      </w:r>
      <w:r>
        <w:rPr>
          <w:rFonts w:cs="Calibri"/>
        </w:rPr>
        <w:t xml:space="preserve"> staff addresses this by reducing the UES values for the economizer repair measure.  This is done via the following assumptions:</w:t>
      </w:r>
    </w:p>
    <w:p w:rsidR="004A5397" w:rsidRDefault="004A5397" w:rsidP="004A5397">
      <w:pPr>
        <w:numPr>
          <w:ilvl w:val="1"/>
          <w:numId w:val="27"/>
        </w:numPr>
        <w:spacing w:after="120"/>
        <w:rPr>
          <w:rFonts w:cs="Calibri"/>
        </w:rPr>
      </w:pPr>
      <w:r>
        <w:rPr>
          <w:rFonts w:cs="Calibri"/>
        </w:rPr>
        <w:t xml:space="preserve">It is assumed that 25% of repaired economizers have a closed failed outside air damper mode.  This is less than the 40% noted in the Felts report, but accounts for situations where outside air dampers are closed and economizers </w:t>
      </w:r>
      <w:r w:rsidR="00FD77B0">
        <w:rPr>
          <w:rFonts w:cs="Calibri"/>
        </w:rPr>
        <w:t xml:space="preserve">are </w:t>
      </w:r>
      <w:r>
        <w:rPr>
          <w:rFonts w:cs="Calibri"/>
        </w:rPr>
        <w:t>deactivated by system owners for non-energy related reasons (most often odors associated with ventilation air).  Those owners would not permit the repair of the economizer.</w:t>
      </w:r>
    </w:p>
    <w:p w:rsidR="004A5397" w:rsidRDefault="004A5397" w:rsidP="004A5397">
      <w:pPr>
        <w:numPr>
          <w:ilvl w:val="1"/>
          <w:numId w:val="27"/>
        </w:numPr>
        <w:spacing w:after="120"/>
        <w:rPr>
          <w:rFonts w:cs="Calibri"/>
        </w:rPr>
      </w:pPr>
      <w:r>
        <w:rPr>
          <w:rFonts w:cs="Calibri"/>
        </w:rPr>
        <w:lastRenderedPageBreak/>
        <w:t>The negative energy impact associated with repairing systems where the outside air damper is failed</w:t>
      </w:r>
      <w:r w:rsidR="00FD77B0">
        <w:rPr>
          <w:rFonts w:cs="Calibri"/>
        </w:rPr>
        <w:t xml:space="preserve"> </w:t>
      </w:r>
      <w:r>
        <w:rPr>
          <w:rFonts w:cs="Calibri"/>
        </w:rPr>
        <w:t>close</w:t>
      </w:r>
      <w:r w:rsidR="00FD77B0">
        <w:rPr>
          <w:rFonts w:cs="Calibri"/>
        </w:rPr>
        <w:t>d</w:t>
      </w:r>
      <w:r>
        <w:rPr>
          <w:rFonts w:cs="Calibri"/>
        </w:rPr>
        <w:t xml:space="preserve"> equals the positive impact of a repaired system where the outside air damper failed at an open setting.  This is likely to overstate impacts for cooler climate zones, but understate impacts for warmer climate zones, but additional details are unavailable at the time of this disposition.</w:t>
      </w:r>
    </w:p>
    <w:p w:rsidR="004A5397" w:rsidRDefault="004A5397" w:rsidP="004A5397">
      <w:pPr>
        <w:numPr>
          <w:ilvl w:val="1"/>
          <w:numId w:val="27"/>
        </w:numPr>
        <w:spacing w:after="120"/>
        <w:rPr>
          <w:rFonts w:cs="Calibri"/>
        </w:rPr>
      </w:pPr>
      <w:r>
        <w:rPr>
          <w:rFonts w:cs="Calibri"/>
        </w:rPr>
        <w:t>The peak electric demand associated, KW</w:t>
      </w:r>
      <w:r>
        <w:rPr>
          <w:rFonts w:cs="Calibri"/>
          <w:vertAlign w:val="subscript"/>
        </w:rPr>
        <w:t>DEER2011</w:t>
      </w:r>
      <w:r>
        <w:rPr>
          <w:rFonts w:cs="Calibri"/>
        </w:rPr>
        <w:t xml:space="preserve"> with direct expansion systems is included </w:t>
      </w:r>
      <w:r w:rsidR="00FD77B0">
        <w:rPr>
          <w:rFonts w:cs="Calibri"/>
        </w:rPr>
        <w:t xml:space="preserve">in </w:t>
      </w:r>
      <w:r>
        <w:rPr>
          <w:rFonts w:cs="Calibri"/>
        </w:rPr>
        <w:t xml:space="preserve">the </w:t>
      </w:r>
      <w:r w:rsidRPr="009E0A1B">
        <w:rPr>
          <w:rFonts w:cs="Calibri"/>
          <w:i/>
        </w:rPr>
        <w:t>“coolingkWperTon2”</w:t>
      </w:r>
      <w:r>
        <w:rPr>
          <w:rFonts w:cs="Calibri"/>
        </w:rPr>
        <w:t xml:space="preserve"> tab of the workbook “</w:t>
      </w:r>
      <w:r w:rsidR="00DC3CCA" w:rsidRPr="004B5F0C">
        <w:rPr>
          <w:i/>
        </w:rPr>
        <w:t>20132014-CommercialHVACMaintenance-SavingsVa</w:t>
      </w:r>
      <w:r w:rsidR="00DC3CCA">
        <w:rPr>
          <w:i/>
        </w:rPr>
        <w:t>lues-</w:t>
      </w:r>
      <w:r w:rsidR="00DC3592">
        <w:rPr>
          <w:i/>
        </w:rPr>
        <w:t>April2013-v1-2</w:t>
      </w:r>
      <w:r w:rsidR="00DC3CCA" w:rsidRPr="004B5F0C">
        <w:rPr>
          <w:i/>
        </w:rPr>
        <w:t>.xlsx</w:t>
      </w:r>
      <w:r>
        <w:rPr>
          <w:rFonts w:cs="Calibri"/>
          <w:i/>
        </w:rPr>
        <w:t xml:space="preserve">.” </w:t>
      </w:r>
      <w:r>
        <w:rPr>
          <w:rFonts w:cs="Calibri"/>
        </w:rPr>
        <w:t>These values are taken from weighted results for a DEER lighting measure and represent the DEER</w:t>
      </w:r>
      <w:r w:rsidR="00FD77B0">
        <w:rPr>
          <w:rFonts w:cs="Calibri"/>
        </w:rPr>
        <w:t>-</w:t>
      </w:r>
      <w:r>
        <w:rPr>
          <w:rFonts w:cs="Calibri"/>
        </w:rPr>
        <w:t>weighted value for typical DEER peak demand for cooling.</w:t>
      </w:r>
    </w:p>
    <w:p w:rsidR="004A5397" w:rsidRDefault="004A5397" w:rsidP="004A5397">
      <w:pPr>
        <w:numPr>
          <w:ilvl w:val="1"/>
          <w:numId w:val="27"/>
        </w:numPr>
        <w:spacing w:after="120"/>
        <w:rPr>
          <w:rFonts w:cs="Calibri"/>
        </w:rPr>
      </w:pPr>
      <w:r>
        <w:rPr>
          <w:rFonts w:cs="Calibri"/>
        </w:rPr>
        <w:t>An estimated 10% of the peak cooling load is a result of ventilation loads.</w:t>
      </w:r>
    </w:p>
    <w:p w:rsidR="004A5397" w:rsidRDefault="004A5397" w:rsidP="004A5397">
      <w:pPr>
        <w:ind w:left="360"/>
        <w:rPr>
          <w:rFonts w:cs="Calibri"/>
        </w:rPr>
      </w:pPr>
      <w:r>
        <w:rPr>
          <w:rFonts w:cs="Calibri"/>
        </w:rPr>
        <w:t>Given these assumptions, workpaper UES values for electric energy savings are adjusted as follows:</w:t>
      </w:r>
    </w:p>
    <w:p w:rsidR="004A5397" w:rsidRPr="002E5B62" w:rsidRDefault="004A5397" w:rsidP="004A5397">
      <w:pPr>
        <w:keepNext/>
        <w:ind w:left="360"/>
        <w:jc w:val="right"/>
        <w:rPr>
          <w:rFonts w:cs="Calibri"/>
        </w:rPr>
      </w:pPr>
      <w:r>
        <w:rPr>
          <w:rFonts w:cs="Calibri"/>
        </w:rPr>
        <w:t>Revised kWh Savings UES</w:t>
      </w:r>
      <w:r>
        <w:rPr>
          <w:rFonts w:cs="Calibri"/>
          <w:vertAlign w:val="subscript"/>
        </w:rPr>
        <w:t>EconoRepair</w:t>
      </w:r>
      <w:r>
        <w:rPr>
          <w:rFonts w:cs="Calibri"/>
        </w:rPr>
        <w:t xml:space="preserve"> </w:t>
      </w:r>
      <w:r w:rsidRPr="00B32752">
        <w:rPr>
          <w:rFonts w:cs="Calibri"/>
        </w:rPr>
        <w:t xml:space="preserve">= </w:t>
      </w:r>
      <w:r>
        <w:rPr>
          <w:rFonts w:cs="Calibri"/>
        </w:rPr>
        <w:t>WP UES</w:t>
      </w:r>
      <w:r>
        <w:rPr>
          <w:rFonts w:cs="Calibri"/>
          <w:vertAlign w:val="subscript"/>
        </w:rPr>
        <w:t>EconoRepair</w:t>
      </w:r>
      <w:r>
        <w:rPr>
          <w:rFonts w:cs="Calibri"/>
        </w:rPr>
        <w:t xml:space="preserve"> * 0.7</w:t>
      </w:r>
      <w:r w:rsidRPr="00B32752">
        <w:rPr>
          <w:rFonts w:cs="Calibri"/>
        </w:rPr>
        <w:t>5</w:t>
      </w:r>
      <w:r>
        <w:t xml:space="preserve"> - </w:t>
      </w:r>
      <w:r>
        <w:rPr>
          <w:rFonts w:cs="Calibri"/>
        </w:rPr>
        <w:t>WP UES</w:t>
      </w:r>
      <w:r>
        <w:rPr>
          <w:rFonts w:cs="Calibri"/>
          <w:vertAlign w:val="subscript"/>
        </w:rPr>
        <w:t>EconoRepair</w:t>
      </w:r>
      <w:r>
        <w:rPr>
          <w:rFonts w:cs="Calibri"/>
        </w:rPr>
        <w:t xml:space="preserve"> * 0.25, or</w:t>
      </w:r>
      <w:r>
        <w:tab/>
      </w:r>
      <w:r w:rsidRPr="002E5B62">
        <w:rPr>
          <w:rFonts w:cs="Calibri"/>
        </w:rPr>
        <w:t xml:space="preserve"> (</w:t>
      </w:r>
      <w:r>
        <w:rPr>
          <w:rFonts w:cs="Calibri"/>
        </w:rPr>
        <w:t>3</w:t>
      </w:r>
      <w:r w:rsidRPr="002E5B62">
        <w:rPr>
          <w:rFonts w:cs="Calibri"/>
        </w:rPr>
        <w:t>)</w:t>
      </w:r>
    </w:p>
    <w:p w:rsidR="004A5397" w:rsidRDefault="004A5397" w:rsidP="004A5397">
      <w:pPr>
        <w:ind w:left="360"/>
        <w:jc w:val="right"/>
        <w:rPr>
          <w:rFonts w:cs="Calibri"/>
        </w:rPr>
      </w:pPr>
      <w:r>
        <w:rPr>
          <w:rFonts w:cs="Calibri"/>
        </w:rPr>
        <w:t>Revised kWh Savings UES</w:t>
      </w:r>
      <w:r>
        <w:rPr>
          <w:rFonts w:cs="Calibri"/>
          <w:vertAlign w:val="subscript"/>
        </w:rPr>
        <w:t>EconoRepair</w:t>
      </w:r>
      <w:r>
        <w:rPr>
          <w:rFonts w:cs="Calibri"/>
        </w:rPr>
        <w:t xml:space="preserve"> </w:t>
      </w:r>
      <w:r w:rsidRPr="00B32752">
        <w:rPr>
          <w:rFonts w:cs="Calibri"/>
        </w:rPr>
        <w:t xml:space="preserve">= </w:t>
      </w:r>
      <w:r>
        <w:rPr>
          <w:rFonts w:cs="Calibri"/>
        </w:rPr>
        <w:t>WP UES</w:t>
      </w:r>
      <w:r>
        <w:rPr>
          <w:rFonts w:cs="Calibri"/>
          <w:vertAlign w:val="subscript"/>
        </w:rPr>
        <w:t>EconoRepair</w:t>
      </w:r>
      <w:r>
        <w:rPr>
          <w:rFonts w:cs="Calibri"/>
        </w:rPr>
        <w:t xml:space="preserve"> * 0.</w:t>
      </w:r>
      <w:r w:rsidRPr="00B32752">
        <w:rPr>
          <w:rFonts w:cs="Calibri"/>
        </w:rPr>
        <w:t>5</w:t>
      </w:r>
      <w:r>
        <w:rPr>
          <w:rFonts w:cs="Calibri"/>
        </w:rPr>
        <w:t>0</w:t>
      </w:r>
      <w:r>
        <w:t xml:space="preserve"> </w:t>
      </w:r>
      <w:r>
        <w:tab/>
        <w:t xml:space="preserve"> </w:t>
      </w:r>
      <w:r>
        <w:tab/>
      </w:r>
      <w:r w:rsidRPr="002E5B62">
        <w:rPr>
          <w:rFonts w:cs="Calibri"/>
        </w:rPr>
        <w:t xml:space="preserve">    </w:t>
      </w:r>
      <w:r>
        <w:rPr>
          <w:rFonts w:cs="Calibri"/>
        </w:rPr>
        <w:tab/>
      </w:r>
      <w:r w:rsidRPr="002E5B62">
        <w:rPr>
          <w:rFonts w:cs="Calibri"/>
        </w:rPr>
        <w:t xml:space="preserve">      (</w:t>
      </w:r>
      <w:r>
        <w:rPr>
          <w:rFonts w:cs="Calibri"/>
        </w:rPr>
        <w:t>4</w:t>
      </w:r>
      <w:r w:rsidRPr="002E5B62">
        <w:rPr>
          <w:rFonts w:cs="Calibri"/>
        </w:rPr>
        <w:t>)</w:t>
      </w:r>
    </w:p>
    <w:p w:rsidR="004A5397" w:rsidRDefault="004A5397" w:rsidP="004A5397">
      <w:pPr>
        <w:ind w:left="360"/>
        <w:rPr>
          <w:rFonts w:cs="Calibri"/>
        </w:rPr>
      </w:pPr>
      <w:r>
        <w:rPr>
          <w:rFonts w:cs="Calibri"/>
        </w:rPr>
        <w:t xml:space="preserve">This is the source of the 0.5 multiplier on repair UES energy values provided in cell I6 of the </w:t>
      </w:r>
      <w:r w:rsidRPr="00BC1B88">
        <w:rPr>
          <w:rFonts w:cs="Calibri"/>
          <w:i/>
        </w:rPr>
        <w:t>“Overall Econo Savings”</w:t>
      </w:r>
      <w:r>
        <w:rPr>
          <w:rFonts w:cs="Calibri"/>
        </w:rPr>
        <w:t xml:space="preserve"> tab of the “</w:t>
      </w:r>
      <w:r w:rsidR="00DC3CCA" w:rsidRPr="004B5F0C">
        <w:rPr>
          <w:i/>
        </w:rPr>
        <w:t>20132014-CommercialHVACMaintenance-SavingsVa</w:t>
      </w:r>
      <w:r w:rsidR="00DC3CCA">
        <w:rPr>
          <w:i/>
        </w:rPr>
        <w:t>lues-</w:t>
      </w:r>
      <w:r w:rsidR="00DC3592">
        <w:rPr>
          <w:i/>
        </w:rPr>
        <w:t>April2013-v1-2</w:t>
      </w:r>
      <w:r w:rsidR="00DC3CCA" w:rsidRPr="004B5F0C">
        <w:rPr>
          <w:i/>
        </w:rPr>
        <w:t>.xlsx</w:t>
      </w:r>
      <w:r>
        <w:rPr>
          <w:rFonts w:cs="Calibri"/>
          <w:i/>
        </w:rPr>
        <w:t xml:space="preserve">” </w:t>
      </w:r>
      <w:r>
        <w:rPr>
          <w:rFonts w:cs="Calibri"/>
        </w:rPr>
        <w:t xml:space="preserve">UES workbook.  </w:t>
      </w:r>
    </w:p>
    <w:p w:rsidR="004A5397" w:rsidRDefault="004A5397" w:rsidP="004A5397">
      <w:pPr>
        <w:ind w:left="360"/>
        <w:rPr>
          <w:rFonts w:cs="Calibri"/>
        </w:rPr>
      </w:pPr>
      <w:r>
        <w:rPr>
          <w:rFonts w:cs="Calibri"/>
        </w:rPr>
        <w:t>Workpaper UES values for electric demand savings are adjusted as follows:</w:t>
      </w:r>
    </w:p>
    <w:p w:rsidR="004A5397" w:rsidRPr="002E5B62" w:rsidRDefault="004A5397" w:rsidP="004A5397">
      <w:pPr>
        <w:keepNext/>
        <w:ind w:left="360"/>
        <w:jc w:val="right"/>
        <w:rPr>
          <w:rFonts w:cs="Calibri"/>
        </w:rPr>
      </w:pPr>
      <w:r>
        <w:rPr>
          <w:rFonts w:cs="Calibri"/>
        </w:rPr>
        <w:t>Revised kW Savings UES</w:t>
      </w:r>
      <w:r>
        <w:rPr>
          <w:rFonts w:cs="Calibri"/>
          <w:vertAlign w:val="subscript"/>
        </w:rPr>
        <w:t>EconoRepair</w:t>
      </w:r>
      <w:r>
        <w:rPr>
          <w:rFonts w:cs="Calibri"/>
        </w:rPr>
        <w:t xml:space="preserve"> </w:t>
      </w:r>
      <w:r w:rsidRPr="00B32752">
        <w:rPr>
          <w:rFonts w:cs="Calibri"/>
        </w:rPr>
        <w:t xml:space="preserve">= </w:t>
      </w:r>
      <w:r>
        <w:rPr>
          <w:rFonts w:cs="Calibri"/>
        </w:rPr>
        <w:t>WP UES</w:t>
      </w:r>
      <w:r>
        <w:rPr>
          <w:rFonts w:cs="Calibri"/>
          <w:vertAlign w:val="subscript"/>
        </w:rPr>
        <w:t>EconoRepair</w:t>
      </w:r>
      <w:r>
        <w:rPr>
          <w:rFonts w:cs="Calibri"/>
        </w:rPr>
        <w:t xml:space="preserve"> –</w:t>
      </w:r>
      <w:r w:rsidRPr="00565305">
        <w:rPr>
          <w:rFonts w:cs="Calibri"/>
        </w:rPr>
        <w:t xml:space="preserve"> </w:t>
      </w:r>
      <w:r>
        <w:rPr>
          <w:rFonts w:cs="Calibri"/>
        </w:rPr>
        <w:t>KW</w:t>
      </w:r>
      <w:r>
        <w:rPr>
          <w:rFonts w:cs="Calibri"/>
          <w:vertAlign w:val="subscript"/>
        </w:rPr>
        <w:t>DEER2011</w:t>
      </w:r>
      <w:r>
        <w:rPr>
          <w:rFonts w:cs="Calibri"/>
        </w:rPr>
        <w:t>* 0.1 vent load faction * 0.25, or</w:t>
      </w:r>
      <w:r>
        <w:tab/>
        <w:t xml:space="preserve"> </w:t>
      </w:r>
      <w:r w:rsidRPr="002E5B62">
        <w:rPr>
          <w:rFonts w:cs="Calibri"/>
        </w:rPr>
        <w:t xml:space="preserve"> (</w:t>
      </w:r>
      <w:r>
        <w:rPr>
          <w:rFonts w:cs="Calibri"/>
        </w:rPr>
        <w:t>5</w:t>
      </w:r>
      <w:r w:rsidRPr="002E5B62">
        <w:rPr>
          <w:rFonts w:cs="Calibri"/>
        </w:rPr>
        <w:t>)</w:t>
      </w:r>
    </w:p>
    <w:p w:rsidR="004A5397" w:rsidRPr="002E5B62" w:rsidRDefault="004A5397" w:rsidP="004A5397">
      <w:pPr>
        <w:keepNext/>
        <w:ind w:left="360"/>
        <w:jc w:val="right"/>
        <w:rPr>
          <w:rFonts w:cs="Calibri"/>
        </w:rPr>
      </w:pPr>
      <w:r>
        <w:rPr>
          <w:rFonts w:cs="Calibri"/>
        </w:rPr>
        <w:t>Revised kW Savings UES</w:t>
      </w:r>
      <w:r>
        <w:rPr>
          <w:rFonts w:cs="Calibri"/>
          <w:vertAlign w:val="subscript"/>
        </w:rPr>
        <w:t>EconoRepair</w:t>
      </w:r>
      <w:r>
        <w:rPr>
          <w:rFonts w:cs="Calibri"/>
        </w:rPr>
        <w:t xml:space="preserve"> </w:t>
      </w:r>
      <w:r w:rsidRPr="00B32752">
        <w:rPr>
          <w:rFonts w:cs="Calibri"/>
        </w:rPr>
        <w:t xml:space="preserve">= </w:t>
      </w:r>
      <w:r>
        <w:rPr>
          <w:rFonts w:cs="Calibri"/>
        </w:rPr>
        <w:t>WP UES</w:t>
      </w:r>
      <w:r>
        <w:rPr>
          <w:rFonts w:cs="Calibri"/>
          <w:vertAlign w:val="subscript"/>
        </w:rPr>
        <w:t>EconoRepair</w:t>
      </w:r>
      <w:r>
        <w:rPr>
          <w:rFonts w:cs="Calibri"/>
        </w:rPr>
        <w:t xml:space="preserve"> –</w:t>
      </w:r>
      <w:r w:rsidRPr="00565305">
        <w:rPr>
          <w:rFonts w:cs="Calibri"/>
        </w:rPr>
        <w:t xml:space="preserve"> </w:t>
      </w:r>
      <w:r>
        <w:rPr>
          <w:rFonts w:cs="Calibri"/>
        </w:rPr>
        <w:t>0.025kW/ton *  KW</w:t>
      </w:r>
      <w:r>
        <w:rPr>
          <w:rFonts w:cs="Calibri"/>
          <w:vertAlign w:val="subscript"/>
        </w:rPr>
        <w:t>DEER2011</w:t>
      </w:r>
      <w:r>
        <w:tab/>
        <w:t xml:space="preserve">      </w:t>
      </w:r>
      <w:r w:rsidRPr="002E5B62">
        <w:rPr>
          <w:rFonts w:cs="Calibri"/>
        </w:rPr>
        <w:t xml:space="preserve"> (</w:t>
      </w:r>
      <w:r>
        <w:rPr>
          <w:rFonts w:cs="Calibri"/>
        </w:rPr>
        <w:t>6</w:t>
      </w:r>
      <w:r w:rsidRPr="002E5B62">
        <w:rPr>
          <w:rFonts w:cs="Calibri"/>
        </w:rPr>
        <w:t>)</w:t>
      </w:r>
    </w:p>
    <w:p w:rsidR="004A5397" w:rsidRDefault="004A5397" w:rsidP="004A5397">
      <w:pPr>
        <w:ind w:left="360"/>
        <w:rPr>
          <w:rFonts w:cs="Calibri"/>
        </w:rPr>
      </w:pPr>
      <w:r>
        <w:rPr>
          <w:rFonts w:cs="Calibri"/>
        </w:rPr>
        <w:t xml:space="preserve">This is the source of the -0.025 offset to IOU demand UES values as shown in cell H10 of the </w:t>
      </w:r>
      <w:r w:rsidRPr="00BC1B88">
        <w:rPr>
          <w:rFonts w:cs="Calibri"/>
          <w:i/>
        </w:rPr>
        <w:t>“Overall Econo Savings”</w:t>
      </w:r>
      <w:r>
        <w:rPr>
          <w:rFonts w:cs="Calibri"/>
        </w:rPr>
        <w:t xml:space="preserve"> tab of the “</w:t>
      </w:r>
      <w:r w:rsidR="00DC3CCA" w:rsidRPr="004B5F0C">
        <w:rPr>
          <w:i/>
        </w:rPr>
        <w:t>20132014-CommercialHVACMaintenance-SavingsVa</w:t>
      </w:r>
      <w:r w:rsidR="00DC3CCA">
        <w:rPr>
          <w:i/>
        </w:rPr>
        <w:t>lues-</w:t>
      </w:r>
      <w:r w:rsidR="00DC3592">
        <w:rPr>
          <w:i/>
        </w:rPr>
        <w:t>April2013-v1-2</w:t>
      </w:r>
      <w:r w:rsidR="00DC3CCA" w:rsidRPr="004B5F0C">
        <w:rPr>
          <w:i/>
        </w:rPr>
        <w:t>.xlsx</w:t>
      </w:r>
      <w:r>
        <w:rPr>
          <w:rFonts w:cs="Calibri"/>
          <w:i/>
        </w:rPr>
        <w:t xml:space="preserve">” </w:t>
      </w:r>
      <w:r>
        <w:rPr>
          <w:rFonts w:cs="Calibri"/>
        </w:rPr>
        <w:t xml:space="preserve">UES workbook.  </w:t>
      </w:r>
    </w:p>
    <w:p w:rsidR="00124855" w:rsidRDefault="00124855" w:rsidP="00124855">
      <w:pPr>
        <w:pStyle w:val="ListParagraph"/>
        <w:keepNext/>
        <w:numPr>
          <w:ilvl w:val="0"/>
          <w:numId w:val="26"/>
        </w:numPr>
        <w:contextualSpacing w:val="0"/>
        <w:rPr>
          <w:rFonts w:cs="Calibri"/>
          <w:b/>
          <w:bCs/>
          <w:u w:val="single"/>
        </w:rPr>
      </w:pPr>
      <w:r>
        <w:rPr>
          <w:rFonts w:cs="Calibri"/>
          <w:b/>
          <w:bCs/>
          <w:u w:val="single"/>
        </w:rPr>
        <w:t>Additional Staff Adjustments – SCE Economizer Control Measures:</w:t>
      </w:r>
    </w:p>
    <w:p w:rsidR="00D97AC6" w:rsidRPr="00BE0FB8" w:rsidRDefault="00BE0FB8" w:rsidP="00124855">
      <w:pPr>
        <w:ind w:left="360"/>
        <w:rPr>
          <w:rFonts w:cs="Calibri"/>
        </w:rPr>
      </w:pPr>
      <w:r>
        <w:rPr>
          <w:rFonts w:cs="Calibri"/>
        </w:rPr>
        <w:t>As discussed above, SCE did not develop savings values of economizer measures for each DEER building type. Instead, prototypical building types are developed with U</w:t>
      </w:r>
      <w:r w:rsidR="002361E5">
        <w:rPr>
          <w:rFonts w:cs="Calibri"/>
        </w:rPr>
        <w:t>E</w:t>
      </w:r>
      <w:r>
        <w:rPr>
          <w:rFonts w:cs="Calibri"/>
        </w:rPr>
        <w:t xml:space="preserve">S values associated with each prototype.  They are then applied to those building types associated with each prototypical building. Additionally, staff believes that PG&amp;E’s direct simulation method, as opposed to SCE’s bin method, of estimating savings of economizer measures is more appropriate. These two very different approaches to developing savings for economizer measures results in very different savings values between the two IOUs for identical measures, particularly for the economizer control measures. In an effort to align PG&amp;E and SCE results, staff applied a multiplier to the economizer control measure results for a subset of the SCE results that were expanded to all DEER building </w:t>
      </w:r>
      <w:r>
        <w:rPr>
          <w:rFonts w:cs="Calibri"/>
        </w:rPr>
        <w:lastRenderedPageBreak/>
        <w:t xml:space="preserve">types. These multipliers are found in column M at the top of the </w:t>
      </w:r>
      <w:r>
        <w:rPr>
          <w:rFonts w:cs="Calibri"/>
          <w:i/>
        </w:rPr>
        <w:t xml:space="preserve">“HVAC QM Savings” </w:t>
      </w:r>
      <w:r>
        <w:rPr>
          <w:rFonts w:cs="Calibri"/>
        </w:rPr>
        <w:t>tab of the “</w:t>
      </w:r>
      <w:r w:rsidRPr="004B5F0C">
        <w:rPr>
          <w:i/>
        </w:rPr>
        <w:t>20132014-CommercialHVACMaintenance-SavingsVa</w:t>
      </w:r>
      <w:r>
        <w:rPr>
          <w:i/>
        </w:rPr>
        <w:t>lues-April2013-v1-2</w:t>
      </w:r>
      <w:r w:rsidRPr="004B5F0C">
        <w:rPr>
          <w:i/>
        </w:rPr>
        <w:t>.xlsx</w:t>
      </w:r>
      <w:r>
        <w:rPr>
          <w:rFonts w:cs="Calibri"/>
          <w:i/>
        </w:rPr>
        <w:t xml:space="preserve">” </w:t>
      </w:r>
      <w:r>
        <w:rPr>
          <w:rFonts w:cs="Calibri"/>
        </w:rPr>
        <w:t>UES workbook.</w:t>
      </w:r>
    </w:p>
    <w:p w:rsidR="00124855" w:rsidRDefault="00124855" w:rsidP="004A4FCD">
      <w:pPr>
        <w:rPr>
          <w:rFonts w:cs="Calibri"/>
          <w:bCs/>
        </w:rPr>
      </w:pPr>
      <w:r>
        <w:rPr>
          <w:rFonts w:cs="Calibri"/>
          <w:b/>
          <w:bCs/>
        </w:rPr>
        <w:t>References</w:t>
      </w:r>
    </w:p>
    <w:p w:rsidR="00A50FAE" w:rsidRDefault="00A50FAE" w:rsidP="00A63046">
      <w:pPr>
        <w:pStyle w:val="Caption"/>
        <w:keepNext/>
      </w:pPr>
      <w:r>
        <w:t>Commercial</w:t>
      </w:r>
      <w:r w:rsidRPr="000E1A28">
        <w:t xml:space="preserve"> HVAC Maintenance Savings Values</w:t>
      </w:r>
    </w:p>
    <w:p w:rsidR="00124855" w:rsidRPr="00124855" w:rsidRDefault="00124855" w:rsidP="004A4FCD">
      <w:pPr>
        <w:rPr>
          <w:rFonts w:cs="Calibri"/>
          <w:bCs/>
        </w:rPr>
      </w:pPr>
      <w:r>
        <w:rPr>
          <w:rFonts w:cs="Calibri"/>
          <w:bCs/>
        </w:rPr>
        <w:object w:dxaOrig="1513" w:dyaOrig="9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4.75pt;height:47.55pt" o:ole="">
            <v:imagedata r:id="rId8" o:title=""/>
          </v:shape>
          <o:OLEObject Type="Embed" ProgID="Excel.Sheet.12" ShapeID="_x0000_i1025" DrawAspect="Icon" ObjectID="_1429013486" r:id="rId9"/>
        </w:object>
      </w:r>
    </w:p>
    <w:sectPr w:rsidR="00124855" w:rsidRPr="00124855" w:rsidSect="007420F0">
      <w:headerReference w:type="default" r:id="rId10"/>
      <w:footerReference w:type="default" r:id="rId11"/>
      <w:footerReference w:type="first" r:id="rId12"/>
      <w:pgSz w:w="12240" w:h="15840" w:code="1"/>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7580F" w:rsidRDefault="00D7580F" w:rsidP="000E70A1">
      <w:pPr>
        <w:spacing w:after="0" w:line="240" w:lineRule="auto"/>
      </w:pPr>
      <w:r>
        <w:separator/>
      </w:r>
    </w:p>
  </w:endnote>
  <w:endnote w:type="continuationSeparator" w:id="0">
    <w:p w:rsidR="00D7580F" w:rsidRDefault="00D7580F" w:rsidP="000E70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373" w:rsidRPr="007B4BBF" w:rsidRDefault="00B51373" w:rsidP="00C0532D">
    <w:pPr>
      <w:pStyle w:val="Footer"/>
      <w:rPr>
        <w:sz w:val="18"/>
        <w:szCs w:val="18"/>
      </w:rPr>
    </w:pPr>
    <w:r w:rsidRPr="007B4BBF">
      <w:rPr>
        <w:sz w:val="18"/>
        <w:szCs w:val="18"/>
      </w:rPr>
      <w:tab/>
      <w:t xml:space="preserve">page </w:t>
    </w:r>
    <w:r w:rsidRPr="007B4BBF">
      <w:rPr>
        <w:sz w:val="18"/>
        <w:szCs w:val="18"/>
      </w:rPr>
      <w:fldChar w:fldCharType="begin"/>
    </w:r>
    <w:r w:rsidRPr="007B4BBF">
      <w:rPr>
        <w:sz w:val="18"/>
        <w:szCs w:val="18"/>
      </w:rPr>
      <w:instrText xml:space="preserve"> PAGE  \* Arabic  \* MERGEFORMAT </w:instrText>
    </w:r>
    <w:r w:rsidRPr="007B4BBF">
      <w:rPr>
        <w:sz w:val="18"/>
        <w:szCs w:val="18"/>
      </w:rPr>
      <w:fldChar w:fldCharType="separate"/>
    </w:r>
    <w:r w:rsidR="00563260">
      <w:rPr>
        <w:noProof/>
        <w:sz w:val="18"/>
        <w:szCs w:val="18"/>
      </w:rPr>
      <w:t>16</w:t>
    </w:r>
    <w:r w:rsidRPr="007B4BBF">
      <w:rPr>
        <w:sz w:val="18"/>
        <w:szCs w:val="18"/>
      </w:rPr>
      <w:fldChar w:fldCharType="end"/>
    </w:r>
    <w:r w:rsidRPr="007B4BBF">
      <w:rPr>
        <w:sz w:val="18"/>
        <w:szCs w:val="18"/>
      </w:rPr>
      <w:t xml:space="preserve"> of </w:t>
    </w:r>
    <w:r w:rsidRPr="007B4BBF">
      <w:rPr>
        <w:sz w:val="18"/>
        <w:szCs w:val="18"/>
      </w:rPr>
      <w:fldChar w:fldCharType="begin"/>
    </w:r>
    <w:r w:rsidRPr="007B4BBF">
      <w:rPr>
        <w:sz w:val="18"/>
        <w:szCs w:val="18"/>
      </w:rPr>
      <w:instrText xml:space="preserve"> NUMPAGES   \* MERGEFORMAT </w:instrText>
    </w:r>
    <w:r w:rsidRPr="007B4BBF">
      <w:rPr>
        <w:sz w:val="18"/>
        <w:szCs w:val="18"/>
      </w:rPr>
      <w:fldChar w:fldCharType="separate"/>
    </w:r>
    <w:r w:rsidR="00563260">
      <w:rPr>
        <w:noProof/>
        <w:sz w:val="18"/>
        <w:szCs w:val="18"/>
      </w:rPr>
      <w:t>16</w:t>
    </w:r>
    <w:r w:rsidRPr="007B4BBF">
      <w:rPr>
        <w:sz w:val="18"/>
        <w:szCs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373" w:rsidRDefault="00B51373">
    <w:pPr>
      <w:pStyle w:val="Footer"/>
    </w:pPr>
    <w:r>
      <w:tab/>
      <w:t xml:space="preserve">page </w:t>
    </w:r>
    <w:r>
      <w:fldChar w:fldCharType="begin"/>
    </w:r>
    <w:r>
      <w:instrText xml:space="preserve"> PAGE  \* Arabic  \* MERGEFORMAT </w:instrText>
    </w:r>
    <w:r>
      <w:fldChar w:fldCharType="separate"/>
    </w:r>
    <w:r w:rsidR="00563260">
      <w:rPr>
        <w:noProof/>
      </w:rPr>
      <w:t>1</w:t>
    </w:r>
    <w:r>
      <w:fldChar w:fldCharType="end"/>
    </w:r>
    <w:r>
      <w:t xml:space="preserve"> of </w:t>
    </w:r>
    <w:fldSimple w:instr=" NUMPAGES   \* MERGEFORMAT ">
      <w:r w:rsidR="00563260">
        <w:rPr>
          <w:noProof/>
        </w:rPr>
        <w:t>1</w:t>
      </w:r>
    </w:fldSimple>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7580F" w:rsidRDefault="00D7580F" w:rsidP="000E70A1">
      <w:pPr>
        <w:spacing w:after="0" w:line="240" w:lineRule="auto"/>
      </w:pPr>
      <w:r>
        <w:separator/>
      </w:r>
    </w:p>
  </w:footnote>
  <w:footnote w:type="continuationSeparator" w:id="0">
    <w:p w:rsidR="00D7580F" w:rsidRDefault="00D7580F" w:rsidP="000E70A1">
      <w:pPr>
        <w:spacing w:after="0" w:line="240" w:lineRule="auto"/>
      </w:pPr>
      <w:r>
        <w:continuationSeparator/>
      </w:r>
    </w:p>
  </w:footnote>
  <w:footnote w:id="1">
    <w:p w:rsidR="00000000" w:rsidRDefault="004A5397" w:rsidP="004A5397">
      <w:pPr>
        <w:pStyle w:val="FootnoteText"/>
      </w:pPr>
      <w:r>
        <w:rPr>
          <w:rStyle w:val="FootnoteReference"/>
        </w:rPr>
        <w:footnoteRef/>
      </w:r>
      <w:r>
        <w:t xml:space="preserve"> </w:t>
      </w:r>
      <w:r w:rsidRPr="00931054">
        <w:t>Don Felts, "Roof Top Unit Economizer Feasibility Study", Pacific Gas and Electric Company, 2001 with additional data details provided by Peter Jacobs.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373" w:rsidRPr="007B4BBF" w:rsidRDefault="00B51373" w:rsidP="00C0532D">
    <w:pPr>
      <w:pStyle w:val="Header"/>
      <w:rPr>
        <w:sz w:val="18"/>
        <w:szCs w:val="18"/>
      </w:rPr>
    </w:pPr>
    <w:r w:rsidRPr="007B4BBF">
      <w:rPr>
        <w:sz w:val="18"/>
        <w:szCs w:val="18"/>
      </w:rPr>
      <w:t xml:space="preserve">WORKPAPER DISPOSITION FOR </w:t>
    </w:r>
    <w:r w:rsidR="00B1737F">
      <w:rPr>
        <w:sz w:val="18"/>
        <w:szCs w:val="18"/>
      </w:rPr>
      <w:t>NON-RESIDENTIAL QUALITY MAINTENANCE</w:t>
    </w:r>
  </w:p>
  <w:p w:rsidR="00B51373" w:rsidRPr="007B4BBF" w:rsidRDefault="00B51373" w:rsidP="00C0532D">
    <w:pPr>
      <w:pStyle w:val="Header"/>
      <w:rPr>
        <w:sz w:val="18"/>
        <w:szCs w:val="18"/>
      </w:rPr>
    </w:pPr>
    <w:r w:rsidRPr="007B4BBF">
      <w:rPr>
        <w:sz w:val="18"/>
        <w:szCs w:val="18"/>
      </w:rPr>
      <w:t>California Public Utilities Commission, Energy Division</w:t>
    </w:r>
  </w:p>
  <w:p w:rsidR="00B51373" w:rsidRPr="007B4BBF" w:rsidRDefault="00B70B49" w:rsidP="00C0532D">
    <w:pPr>
      <w:pStyle w:val="Header"/>
      <w:rPr>
        <w:sz w:val="18"/>
        <w:szCs w:val="18"/>
      </w:rPr>
    </w:pPr>
    <w:r>
      <w:rPr>
        <w:sz w:val="18"/>
        <w:szCs w:val="18"/>
      </w:rPr>
      <w:t>May 2</w:t>
    </w:r>
    <w:r w:rsidR="00B1737F">
      <w:rPr>
        <w:sz w:val="18"/>
        <w:szCs w:val="18"/>
      </w:rPr>
      <w:t>, 2013</w:t>
    </w:r>
  </w:p>
  <w:p w:rsidR="00B51373" w:rsidRDefault="00B51373" w:rsidP="00C0532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54442"/>
    <w:multiLevelType w:val="hybridMultilevel"/>
    <w:tmpl w:val="97F2BF3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7FE4FEC"/>
    <w:multiLevelType w:val="hybridMultilevel"/>
    <w:tmpl w:val="B1C8D86E"/>
    <w:lvl w:ilvl="0" w:tplc="40E639BE">
      <w:start w:val="1"/>
      <w:numFmt w:val="decimal"/>
      <w:lvlText w:val="%1."/>
      <w:lvlJc w:val="left"/>
      <w:pPr>
        <w:ind w:left="360" w:hanging="360"/>
      </w:pPr>
      <w:rPr>
        <w:rFonts w:cs="Times New Roman" w:hint="default"/>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
    <w:nsid w:val="0CA25B01"/>
    <w:multiLevelType w:val="hybridMultilevel"/>
    <w:tmpl w:val="EB3E4156"/>
    <w:lvl w:ilvl="0" w:tplc="0409000F">
      <w:start w:val="1"/>
      <w:numFmt w:val="decimal"/>
      <w:lvlText w:val="%1."/>
      <w:lvlJc w:val="left"/>
      <w:pPr>
        <w:ind w:left="720" w:hanging="360"/>
      </w:pPr>
      <w:rPr>
        <w:rFonts w:cs="Times New Roman"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3">
    <w:nsid w:val="1226633B"/>
    <w:multiLevelType w:val="hybridMultilevel"/>
    <w:tmpl w:val="42B464A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
    <w:nsid w:val="15157D59"/>
    <w:multiLevelType w:val="hybridMultilevel"/>
    <w:tmpl w:val="34D2B94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5">
    <w:nsid w:val="17177E5A"/>
    <w:multiLevelType w:val="multilevel"/>
    <w:tmpl w:val="C0F65644"/>
    <w:lvl w:ilvl="0">
      <w:start w:val="2"/>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1080"/>
        </w:tabs>
        <w:ind w:left="1080" w:hanging="360"/>
      </w:pPr>
      <w:rPr>
        <w:rFonts w:cs="Times New Roman" w:hint="default"/>
      </w:rPr>
    </w:lvl>
    <w:lvl w:ilvl="2">
      <w:start w:val="1"/>
      <w:numFmt w:val="decimal"/>
      <w:lvlText w:val="%3."/>
      <w:lvlJc w:val="left"/>
      <w:pPr>
        <w:tabs>
          <w:tab w:val="num" w:pos="1800"/>
        </w:tabs>
        <w:ind w:left="1800" w:hanging="360"/>
      </w:pPr>
      <w:rPr>
        <w:rFonts w:cs="Times New Roman" w:hint="default"/>
      </w:rPr>
    </w:lvl>
    <w:lvl w:ilvl="3">
      <w:start w:val="1"/>
      <w:numFmt w:val="decimal"/>
      <w:lvlText w:val="%4."/>
      <w:lvlJc w:val="left"/>
      <w:pPr>
        <w:tabs>
          <w:tab w:val="num" w:pos="2520"/>
        </w:tabs>
        <w:ind w:left="2520" w:hanging="360"/>
      </w:pPr>
      <w:rPr>
        <w:rFonts w:cs="Times New Roman" w:hint="default"/>
      </w:rPr>
    </w:lvl>
    <w:lvl w:ilvl="4">
      <w:start w:val="1"/>
      <w:numFmt w:val="decimal"/>
      <w:lvlText w:val="%5."/>
      <w:lvlJc w:val="left"/>
      <w:pPr>
        <w:tabs>
          <w:tab w:val="num" w:pos="3240"/>
        </w:tabs>
        <w:ind w:left="3240" w:hanging="360"/>
      </w:pPr>
      <w:rPr>
        <w:rFonts w:cs="Times New Roman" w:hint="default"/>
      </w:rPr>
    </w:lvl>
    <w:lvl w:ilvl="5">
      <w:start w:val="1"/>
      <w:numFmt w:val="decimal"/>
      <w:lvlText w:val="%6."/>
      <w:lvlJc w:val="left"/>
      <w:pPr>
        <w:tabs>
          <w:tab w:val="num" w:pos="3960"/>
        </w:tabs>
        <w:ind w:left="3960" w:hanging="36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decimal"/>
      <w:lvlText w:val="%8."/>
      <w:lvlJc w:val="left"/>
      <w:pPr>
        <w:tabs>
          <w:tab w:val="num" w:pos="5400"/>
        </w:tabs>
        <w:ind w:left="5400" w:hanging="360"/>
      </w:pPr>
      <w:rPr>
        <w:rFonts w:cs="Times New Roman" w:hint="default"/>
      </w:rPr>
    </w:lvl>
    <w:lvl w:ilvl="8">
      <w:start w:val="1"/>
      <w:numFmt w:val="decimal"/>
      <w:lvlText w:val="%9."/>
      <w:lvlJc w:val="left"/>
      <w:pPr>
        <w:tabs>
          <w:tab w:val="num" w:pos="6120"/>
        </w:tabs>
        <w:ind w:left="6120" w:hanging="360"/>
      </w:pPr>
      <w:rPr>
        <w:rFonts w:cs="Times New Roman" w:hint="default"/>
      </w:rPr>
    </w:lvl>
  </w:abstractNum>
  <w:abstractNum w:abstractNumId="6">
    <w:nsid w:val="1CAA5A12"/>
    <w:multiLevelType w:val="multilevel"/>
    <w:tmpl w:val="C0F65644"/>
    <w:lvl w:ilvl="0">
      <w:start w:val="2"/>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1080"/>
        </w:tabs>
        <w:ind w:left="1080" w:hanging="360"/>
      </w:pPr>
      <w:rPr>
        <w:rFonts w:cs="Times New Roman" w:hint="default"/>
      </w:rPr>
    </w:lvl>
    <w:lvl w:ilvl="2">
      <w:start w:val="1"/>
      <w:numFmt w:val="decimal"/>
      <w:lvlText w:val="%3."/>
      <w:lvlJc w:val="left"/>
      <w:pPr>
        <w:tabs>
          <w:tab w:val="num" w:pos="1800"/>
        </w:tabs>
        <w:ind w:left="1800" w:hanging="360"/>
      </w:pPr>
      <w:rPr>
        <w:rFonts w:cs="Times New Roman" w:hint="default"/>
      </w:rPr>
    </w:lvl>
    <w:lvl w:ilvl="3">
      <w:start w:val="1"/>
      <w:numFmt w:val="decimal"/>
      <w:lvlText w:val="%4."/>
      <w:lvlJc w:val="left"/>
      <w:pPr>
        <w:tabs>
          <w:tab w:val="num" w:pos="2520"/>
        </w:tabs>
        <w:ind w:left="2520" w:hanging="360"/>
      </w:pPr>
      <w:rPr>
        <w:rFonts w:cs="Times New Roman" w:hint="default"/>
      </w:rPr>
    </w:lvl>
    <w:lvl w:ilvl="4">
      <w:start w:val="1"/>
      <w:numFmt w:val="decimal"/>
      <w:lvlText w:val="%5."/>
      <w:lvlJc w:val="left"/>
      <w:pPr>
        <w:tabs>
          <w:tab w:val="num" w:pos="3240"/>
        </w:tabs>
        <w:ind w:left="3240" w:hanging="360"/>
      </w:pPr>
      <w:rPr>
        <w:rFonts w:cs="Times New Roman" w:hint="default"/>
      </w:rPr>
    </w:lvl>
    <w:lvl w:ilvl="5">
      <w:start w:val="1"/>
      <w:numFmt w:val="decimal"/>
      <w:lvlText w:val="%6."/>
      <w:lvlJc w:val="left"/>
      <w:pPr>
        <w:tabs>
          <w:tab w:val="num" w:pos="3960"/>
        </w:tabs>
        <w:ind w:left="3960" w:hanging="36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decimal"/>
      <w:lvlText w:val="%8."/>
      <w:lvlJc w:val="left"/>
      <w:pPr>
        <w:tabs>
          <w:tab w:val="num" w:pos="5400"/>
        </w:tabs>
        <w:ind w:left="5400" w:hanging="360"/>
      </w:pPr>
      <w:rPr>
        <w:rFonts w:cs="Times New Roman" w:hint="default"/>
      </w:rPr>
    </w:lvl>
    <w:lvl w:ilvl="8">
      <w:start w:val="1"/>
      <w:numFmt w:val="decimal"/>
      <w:lvlText w:val="%9."/>
      <w:lvlJc w:val="left"/>
      <w:pPr>
        <w:tabs>
          <w:tab w:val="num" w:pos="6120"/>
        </w:tabs>
        <w:ind w:left="6120" w:hanging="360"/>
      </w:pPr>
      <w:rPr>
        <w:rFonts w:cs="Times New Roman" w:hint="default"/>
      </w:rPr>
    </w:lvl>
  </w:abstractNum>
  <w:abstractNum w:abstractNumId="7">
    <w:nsid w:val="1E7F32F3"/>
    <w:multiLevelType w:val="hybridMultilevel"/>
    <w:tmpl w:val="0388C73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21EF7A24"/>
    <w:multiLevelType w:val="multilevel"/>
    <w:tmpl w:val="C0F65644"/>
    <w:lvl w:ilvl="0">
      <w:start w:val="2"/>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1080"/>
        </w:tabs>
        <w:ind w:left="1080" w:hanging="360"/>
      </w:pPr>
      <w:rPr>
        <w:rFonts w:cs="Times New Roman" w:hint="default"/>
      </w:rPr>
    </w:lvl>
    <w:lvl w:ilvl="2">
      <w:start w:val="1"/>
      <w:numFmt w:val="decimal"/>
      <w:lvlText w:val="%3."/>
      <w:lvlJc w:val="left"/>
      <w:pPr>
        <w:tabs>
          <w:tab w:val="num" w:pos="1800"/>
        </w:tabs>
        <w:ind w:left="1800" w:hanging="360"/>
      </w:pPr>
      <w:rPr>
        <w:rFonts w:cs="Times New Roman" w:hint="default"/>
      </w:rPr>
    </w:lvl>
    <w:lvl w:ilvl="3">
      <w:start w:val="1"/>
      <w:numFmt w:val="decimal"/>
      <w:lvlText w:val="%4."/>
      <w:lvlJc w:val="left"/>
      <w:pPr>
        <w:tabs>
          <w:tab w:val="num" w:pos="2520"/>
        </w:tabs>
        <w:ind w:left="2520" w:hanging="360"/>
      </w:pPr>
      <w:rPr>
        <w:rFonts w:cs="Times New Roman" w:hint="default"/>
      </w:rPr>
    </w:lvl>
    <w:lvl w:ilvl="4">
      <w:start w:val="1"/>
      <w:numFmt w:val="decimal"/>
      <w:lvlText w:val="%5."/>
      <w:lvlJc w:val="left"/>
      <w:pPr>
        <w:tabs>
          <w:tab w:val="num" w:pos="3240"/>
        </w:tabs>
        <w:ind w:left="3240" w:hanging="360"/>
      </w:pPr>
      <w:rPr>
        <w:rFonts w:cs="Times New Roman" w:hint="default"/>
      </w:rPr>
    </w:lvl>
    <w:lvl w:ilvl="5">
      <w:start w:val="1"/>
      <w:numFmt w:val="decimal"/>
      <w:lvlText w:val="%6."/>
      <w:lvlJc w:val="left"/>
      <w:pPr>
        <w:tabs>
          <w:tab w:val="num" w:pos="3960"/>
        </w:tabs>
        <w:ind w:left="3960" w:hanging="36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decimal"/>
      <w:lvlText w:val="%8."/>
      <w:lvlJc w:val="left"/>
      <w:pPr>
        <w:tabs>
          <w:tab w:val="num" w:pos="5400"/>
        </w:tabs>
        <w:ind w:left="5400" w:hanging="360"/>
      </w:pPr>
      <w:rPr>
        <w:rFonts w:cs="Times New Roman" w:hint="default"/>
      </w:rPr>
    </w:lvl>
    <w:lvl w:ilvl="8">
      <w:start w:val="1"/>
      <w:numFmt w:val="decimal"/>
      <w:lvlText w:val="%9."/>
      <w:lvlJc w:val="left"/>
      <w:pPr>
        <w:tabs>
          <w:tab w:val="num" w:pos="6120"/>
        </w:tabs>
        <w:ind w:left="6120" w:hanging="360"/>
      </w:pPr>
      <w:rPr>
        <w:rFonts w:cs="Times New Roman" w:hint="default"/>
      </w:rPr>
    </w:lvl>
  </w:abstractNum>
  <w:abstractNum w:abstractNumId="9">
    <w:nsid w:val="230D757D"/>
    <w:multiLevelType w:val="hybridMultilevel"/>
    <w:tmpl w:val="0388C73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nsid w:val="28673299"/>
    <w:multiLevelType w:val="multilevel"/>
    <w:tmpl w:val="C0F65644"/>
    <w:lvl w:ilvl="0">
      <w:start w:val="2"/>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1080"/>
        </w:tabs>
        <w:ind w:left="1080" w:hanging="360"/>
      </w:pPr>
      <w:rPr>
        <w:rFonts w:cs="Times New Roman" w:hint="default"/>
      </w:rPr>
    </w:lvl>
    <w:lvl w:ilvl="2">
      <w:start w:val="1"/>
      <w:numFmt w:val="decimal"/>
      <w:lvlText w:val="%3."/>
      <w:lvlJc w:val="left"/>
      <w:pPr>
        <w:tabs>
          <w:tab w:val="num" w:pos="1800"/>
        </w:tabs>
        <w:ind w:left="1800" w:hanging="360"/>
      </w:pPr>
      <w:rPr>
        <w:rFonts w:cs="Times New Roman" w:hint="default"/>
      </w:rPr>
    </w:lvl>
    <w:lvl w:ilvl="3">
      <w:start w:val="1"/>
      <w:numFmt w:val="decimal"/>
      <w:lvlText w:val="%4."/>
      <w:lvlJc w:val="left"/>
      <w:pPr>
        <w:tabs>
          <w:tab w:val="num" w:pos="2520"/>
        </w:tabs>
        <w:ind w:left="2520" w:hanging="360"/>
      </w:pPr>
      <w:rPr>
        <w:rFonts w:cs="Times New Roman" w:hint="default"/>
      </w:rPr>
    </w:lvl>
    <w:lvl w:ilvl="4">
      <w:start w:val="1"/>
      <w:numFmt w:val="decimal"/>
      <w:lvlText w:val="%5."/>
      <w:lvlJc w:val="left"/>
      <w:pPr>
        <w:tabs>
          <w:tab w:val="num" w:pos="3240"/>
        </w:tabs>
        <w:ind w:left="3240" w:hanging="360"/>
      </w:pPr>
      <w:rPr>
        <w:rFonts w:cs="Times New Roman" w:hint="default"/>
      </w:rPr>
    </w:lvl>
    <w:lvl w:ilvl="5">
      <w:start w:val="1"/>
      <w:numFmt w:val="decimal"/>
      <w:lvlText w:val="%6."/>
      <w:lvlJc w:val="left"/>
      <w:pPr>
        <w:tabs>
          <w:tab w:val="num" w:pos="3960"/>
        </w:tabs>
        <w:ind w:left="3960" w:hanging="36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decimal"/>
      <w:lvlText w:val="%8."/>
      <w:lvlJc w:val="left"/>
      <w:pPr>
        <w:tabs>
          <w:tab w:val="num" w:pos="5400"/>
        </w:tabs>
        <w:ind w:left="5400" w:hanging="360"/>
      </w:pPr>
      <w:rPr>
        <w:rFonts w:cs="Times New Roman" w:hint="default"/>
      </w:rPr>
    </w:lvl>
    <w:lvl w:ilvl="8">
      <w:start w:val="1"/>
      <w:numFmt w:val="decimal"/>
      <w:lvlText w:val="%9."/>
      <w:lvlJc w:val="left"/>
      <w:pPr>
        <w:tabs>
          <w:tab w:val="num" w:pos="6120"/>
        </w:tabs>
        <w:ind w:left="6120" w:hanging="360"/>
      </w:pPr>
      <w:rPr>
        <w:rFonts w:cs="Times New Roman" w:hint="default"/>
      </w:rPr>
    </w:lvl>
  </w:abstractNum>
  <w:abstractNum w:abstractNumId="11">
    <w:nsid w:val="2CA86018"/>
    <w:multiLevelType w:val="hybridMultilevel"/>
    <w:tmpl w:val="704805B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4B96C97"/>
    <w:multiLevelType w:val="hybridMultilevel"/>
    <w:tmpl w:val="7CF89B9C"/>
    <w:lvl w:ilvl="0" w:tplc="A400033A">
      <w:start w:val="1"/>
      <w:numFmt w:val="bullet"/>
      <w:lvlText w:val="­"/>
      <w:lvlJc w:val="left"/>
      <w:pPr>
        <w:ind w:left="1080" w:hanging="360"/>
      </w:pPr>
      <w:rPr>
        <w:rFonts w:ascii="Calibri" w:hAnsi="Calibri"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13">
    <w:nsid w:val="36BD2B93"/>
    <w:multiLevelType w:val="hybridMultilevel"/>
    <w:tmpl w:val="23CA74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746261F"/>
    <w:multiLevelType w:val="hybridMultilevel"/>
    <w:tmpl w:val="3A4E1E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5">
    <w:nsid w:val="3F6B1D9B"/>
    <w:multiLevelType w:val="hybridMultilevel"/>
    <w:tmpl w:val="D298954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40565233"/>
    <w:multiLevelType w:val="hybridMultilevel"/>
    <w:tmpl w:val="97681478"/>
    <w:lvl w:ilvl="0" w:tplc="0409000F">
      <w:start w:val="1"/>
      <w:numFmt w:val="decimal"/>
      <w:lvlText w:val="%1."/>
      <w:lvlJc w:val="left"/>
      <w:pPr>
        <w:ind w:left="720" w:hanging="360"/>
      </w:pPr>
      <w:rPr>
        <w:rFonts w:cs="Times New Roman"/>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491F662F"/>
    <w:multiLevelType w:val="hybridMultilevel"/>
    <w:tmpl w:val="B1C8D86E"/>
    <w:lvl w:ilvl="0" w:tplc="40E639BE">
      <w:start w:val="1"/>
      <w:numFmt w:val="decimal"/>
      <w:lvlText w:val="%1."/>
      <w:lvlJc w:val="left"/>
      <w:pPr>
        <w:ind w:left="360" w:hanging="360"/>
      </w:pPr>
      <w:rPr>
        <w:rFonts w:cs="Times New Roman" w:hint="default"/>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8">
    <w:nsid w:val="4F581757"/>
    <w:multiLevelType w:val="hybridMultilevel"/>
    <w:tmpl w:val="125C959E"/>
    <w:lvl w:ilvl="0" w:tplc="0409000F">
      <w:start w:val="1"/>
      <w:numFmt w:val="decimal"/>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9">
    <w:nsid w:val="54AD34EA"/>
    <w:multiLevelType w:val="hybridMultilevel"/>
    <w:tmpl w:val="6AF0F0CA"/>
    <w:lvl w:ilvl="0" w:tplc="5F48A404">
      <w:start w:val="1"/>
      <w:numFmt w:val="decimal"/>
      <w:lvlText w:val="%1."/>
      <w:lvlJc w:val="left"/>
      <w:pPr>
        <w:ind w:left="360" w:hanging="360"/>
      </w:pPr>
      <w:rPr>
        <w:rFonts w:cs="Times New Roman" w:hint="default"/>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0">
    <w:nsid w:val="56A8256B"/>
    <w:multiLevelType w:val="multilevel"/>
    <w:tmpl w:val="3574FB22"/>
    <w:lvl w:ilvl="0">
      <w:start w:val="7"/>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1080"/>
        </w:tabs>
        <w:ind w:left="1080" w:hanging="360"/>
      </w:pPr>
      <w:rPr>
        <w:rFonts w:cs="Times New Roman" w:hint="default"/>
      </w:rPr>
    </w:lvl>
    <w:lvl w:ilvl="2">
      <w:start w:val="1"/>
      <w:numFmt w:val="decimal"/>
      <w:lvlText w:val="%3."/>
      <w:lvlJc w:val="left"/>
      <w:pPr>
        <w:tabs>
          <w:tab w:val="num" w:pos="1800"/>
        </w:tabs>
        <w:ind w:left="1800" w:hanging="360"/>
      </w:pPr>
      <w:rPr>
        <w:rFonts w:cs="Times New Roman" w:hint="default"/>
      </w:rPr>
    </w:lvl>
    <w:lvl w:ilvl="3">
      <w:start w:val="1"/>
      <w:numFmt w:val="decimal"/>
      <w:lvlText w:val="%4."/>
      <w:lvlJc w:val="left"/>
      <w:pPr>
        <w:tabs>
          <w:tab w:val="num" w:pos="2520"/>
        </w:tabs>
        <w:ind w:left="2520" w:hanging="360"/>
      </w:pPr>
      <w:rPr>
        <w:rFonts w:cs="Times New Roman" w:hint="default"/>
      </w:rPr>
    </w:lvl>
    <w:lvl w:ilvl="4">
      <w:start w:val="1"/>
      <w:numFmt w:val="decimal"/>
      <w:lvlText w:val="%5."/>
      <w:lvlJc w:val="left"/>
      <w:pPr>
        <w:tabs>
          <w:tab w:val="num" w:pos="3240"/>
        </w:tabs>
        <w:ind w:left="3240" w:hanging="360"/>
      </w:pPr>
      <w:rPr>
        <w:rFonts w:cs="Times New Roman" w:hint="default"/>
      </w:rPr>
    </w:lvl>
    <w:lvl w:ilvl="5">
      <w:start w:val="1"/>
      <w:numFmt w:val="decimal"/>
      <w:lvlText w:val="%6."/>
      <w:lvlJc w:val="left"/>
      <w:pPr>
        <w:tabs>
          <w:tab w:val="num" w:pos="3960"/>
        </w:tabs>
        <w:ind w:left="3960" w:hanging="36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decimal"/>
      <w:lvlText w:val="%8."/>
      <w:lvlJc w:val="left"/>
      <w:pPr>
        <w:tabs>
          <w:tab w:val="num" w:pos="5400"/>
        </w:tabs>
        <w:ind w:left="5400" w:hanging="360"/>
      </w:pPr>
      <w:rPr>
        <w:rFonts w:cs="Times New Roman" w:hint="default"/>
      </w:rPr>
    </w:lvl>
    <w:lvl w:ilvl="8">
      <w:start w:val="1"/>
      <w:numFmt w:val="decimal"/>
      <w:lvlText w:val="%9."/>
      <w:lvlJc w:val="left"/>
      <w:pPr>
        <w:tabs>
          <w:tab w:val="num" w:pos="6120"/>
        </w:tabs>
        <w:ind w:left="6120" w:hanging="360"/>
      </w:pPr>
      <w:rPr>
        <w:rFonts w:cs="Times New Roman" w:hint="default"/>
      </w:rPr>
    </w:lvl>
  </w:abstractNum>
  <w:abstractNum w:abstractNumId="21">
    <w:nsid w:val="57C4427B"/>
    <w:multiLevelType w:val="hybridMultilevel"/>
    <w:tmpl w:val="0388C73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59171DEB"/>
    <w:multiLevelType w:val="hybridMultilevel"/>
    <w:tmpl w:val="A07C21A8"/>
    <w:lvl w:ilvl="0" w:tplc="0409000F">
      <w:start w:val="1"/>
      <w:numFmt w:val="decimal"/>
      <w:lvlText w:val="%1."/>
      <w:lvlJc w:val="left"/>
      <w:pPr>
        <w:ind w:left="360" w:hanging="360"/>
      </w:pPr>
      <w:rPr>
        <w:rFonts w:cs="Times New Roman" w:hint="default"/>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23">
    <w:nsid w:val="5D2E77CD"/>
    <w:multiLevelType w:val="multilevel"/>
    <w:tmpl w:val="C0F65644"/>
    <w:lvl w:ilvl="0">
      <w:start w:val="2"/>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1080"/>
        </w:tabs>
        <w:ind w:left="1080" w:hanging="360"/>
      </w:pPr>
      <w:rPr>
        <w:rFonts w:cs="Times New Roman" w:hint="default"/>
      </w:rPr>
    </w:lvl>
    <w:lvl w:ilvl="2">
      <w:start w:val="1"/>
      <w:numFmt w:val="decimal"/>
      <w:lvlText w:val="%3."/>
      <w:lvlJc w:val="left"/>
      <w:pPr>
        <w:tabs>
          <w:tab w:val="num" w:pos="1800"/>
        </w:tabs>
        <w:ind w:left="1800" w:hanging="360"/>
      </w:pPr>
      <w:rPr>
        <w:rFonts w:cs="Times New Roman" w:hint="default"/>
      </w:rPr>
    </w:lvl>
    <w:lvl w:ilvl="3">
      <w:start w:val="1"/>
      <w:numFmt w:val="decimal"/>
      <w:lvlText w:val="%4."/>
      <w:lvlJc w:val="left"/>
      <w:pPr>
        <w:tabs>
          <w:tab w:val="num" w:pos="2520"/>
        </w:tabs>
        <w:ind w:left="2520" w:hanging="360"/>
      </w:pPr>
      <w:rPr>
        <w:rFonts w:cs="Times New Roman" w:hint="default"/>
      </w:rPr>
    </w:lvl>
    <w:lvl w:ilvl="4">
      <w:start w:val="1"/>
      <w:numFmt w:val="decimal"/>
      <w:lvlText w:val="%5."/>
      <w:lvlJc w:val="left"/>
      <w:pPr>
        <w:tabs>
          <w:tab w:val="num" w:pos="3240"/>
        </w:tabs>
        <w:ind w:left="3240" w:hanging="360"/>
      </w:pPr>
      <w:rPr>
        <w:rFonts w:cs="Times New Roman" w:hint="default"/>
      </w:rPr>
    </w:lvl>
    <w:lvl w:ilvl="5">
      <w:start w:val="1"/>
      <w:numFmt w:val="decimal"/>
      <w:lvlText w:val="%6."/>
      <w:lvlJc w:val="left"/>
      <w:pPr>
        <w:tabs>
          <w:tab w:val="num" w:pos="3960"/>
        </w:tabs>
        <w:ind w:left="3960" w:hanging="36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decimal"/>
      <w:lvlText w:val="%8."/>
      <w:lvlJc w:val="left"/>
      <w:pPr>
        <w:tabs>
          <w:tab w:val="num" w:pos="5400"/>
        </w:tabs>
        <w:ind w:left="5400" w:hanging="360"/>
      </w:pPr>
      <w:rPr>
        <w:rFonts w:cs="Times New Roman" w:hint="default"/>
      </w:rPr>
    </w:lvl>
    <w:lvl w:ilvl="8">
      <w:start w:val="1"/>
      <w:numFmt w:val="decimal"/>
      <w:lvlText w:val="%9."/>
      <w:lvlJc w:val="left"/>
      <w:pPr>
        <w:tabs>
          <w:tab w:val="num" w:pos="6120"/>
        </w:tabs>
        <w:ind w:left="6120" w:hanging="360"/>
      </w:pPr>
      <w:rPr>
        <w:rFonts w:cs="Times New Roman" w:hint="default"/>
      </w:rPr>
    </w:lvl>
  </w:abstractNum>
  <w:abstractNum w:abstractNumId="24">
    <w:nsid w:val="5D415A88"/>
    <w:multiLevelType w:val="hybridMultilevel"/>
    <w:tmpl w:val="97681478"/>
    <w:lvl w:ilvl="0" w:tplc="0409000F">
      <w:start w:val="1"/>
      <w:numFmt w:val="decimal"/>
      <w:lvlText w:val="%1."/>
      <w:lvlJc w:val="left"/>
      <w:pPr>
        <w:ind w:left="720" w:hanging="360"/>
      </w:pPr>
      <w:rPr>
        <w:rFonts w:cs="Times New Roman"/>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5">
    <w:nsid w:val="6CC177E0"/>
    <w:multiLevelType w:val="hybridMultilevel"/>
    <w:tmpl w:val="37787F66"/>
    <w:lvl w:ilvl="0" w:tplc="04090011">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6">
    <w:nsid w:val="74287C64"/>
    <w:multiLevelType w:val="hybridMultilevel"/>
    <w:tmpl w:val="A07C21A8"/>
    <w:lvl w:ilvl="0" w:tplc="0409000F">
      <w:start w:val="1"/>
      <w:numFmt w:val="decimal"/>
      <w:lvlText w:val="%1."/>
      <w:lvlJc w:val="left"/>
      <w:pPr>
        <w:ind w:left="360" w:hanging="360"/>
      </w:pPr>
      <w:rPr>
        <w:rFonts w:cs="Times New Roman" w:hint="default"/>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27">
    <w:nsid w:val="7CF8173E"/>
    <w:multiLevelType w:val="hybridMultilevel"/>
    <w:tmpl w:val="CE449E0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8">
    <w:nsid w:val="7F485309"/>
    <w:multiLevelType w:val="hybridMultilevel"/>
    <w:tmpl w:val="A67A27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8"/>
  </w:num>
  <w:num w:numId="3">
    <w:abstractNumId w:val="24"/>
  </w:num>
  <w:num w:numId="4">
    <w:abstractNumId w:val="11"/>
  </w:num>
  <w:num w:numId="5">
    <w:abstractNumId w:val="27"/>
  </w:num>
  <w:num w:numId="6">
    <w:abstractNumId w:val="3"/>
  </w:num>
  <w:num w:numId="7">
    <w:abstractNumId w:val="25"/>
  </w:num>
  <w:num w:numId="8">
    <w:abstractNumId w:val="16"/>
  </w:num>
  <w:num w:numId="9">
    <w:abstractNumId w:val="23"/>
  </w:num>
  <w:num w:numId="10">
    <w:abstractNumId w:val="14"/>
  </w:num>
  <w:num w:numId="11">
    <w:abstractNumId w:val="26"/>
  </w:num>
  <w:num w:numId="12">
    <w:abstractNumId w:val="4"/>
  </w:num>
  <w:num w:numId="13">
    <w:abstractNumId w:val="12"/>
  </w:num>
  <w:num w:numId="14">
    <w:abstractNumId w:val="28"/>
  </w:num>
  <w:num w:numId="15">
    <w:abstractNumId w:val="9"/>
  </w:num>
  <w:num w:numId="16">
    <w:abstractNumId w:val="8"/>
  </w:num>
  <w:num w:numId="17">
    <w:abstractNumId w:val="21"/>
  </w:num>
  <w:num w:numId="18">
    <w:abstractNumId w:val="22"/>
  </w:num>
  <w:num w:numId="19">
    <w:abstractNumId w:val="6"/>
  </w:num>
  <w:num w:numId="20">
    <w:abstractNumId w:val="20"/>
  </w:num>
  <w:num w:numId="21">
    <w:abstractNumId w:val="13"/>
  </w:num>
  <w:num w:numId="22">
    <w:abstractNumId w:val="17"/>
  </w:num>
  <w:num w:numId="23">
    <w:abstractNumId w:val="5"/>
  </w:num>
  <w:num w:numId="24">
    <w:abstractNumId w:val="7"/>
  </w:num>
  <w:num w:numId="25">
    <w:abstractNumId w:val="1"/>
  </w:num>
  <w:num w:numId="26">
    <w:abstractNumId w:val="10"/>
  </w:num>
  <w:num w:numId="27">
    <w:abstractNumId w:val="19"/>
  </w:num>
  <w:num w:numId="28">
    <w:abstractNumId w:val="2"/>
  </w:num>
  <w:num w:numId="2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BB303C"/>
    <w:rsid w:val="00002A25"/>
    <w:rsid w:val="000050D5"/>
    <w:rsid w:val="00014D39"/>
    <w:rsid w:val="00015F65"/>
    <w:rsid w:val="00020040"/>
    <w:rsid w:val="00026A12"/>
    <w:rsid w:val="00030FB0"/>
    <w:rsid w:val="00034AE8"/>
    <w:rsid w:val="0004709D"/>
    <w:rsid w:val="00051079"/>
    <w:rsid w:val="00053FF3"/>
    <w:rsid w:val="000717E6"/>
    <w:rsid w:val="000717FE"/>
    <w:rsid w:val="000745B5"/>
    <w:rsid w:val="00080E9A"/>
    <w:rsid w:val="00081633"/>
    <w:rsid w:val="00082CA9"/>
    <w:rsid w:val="00095567"/>
    <w:rsid w:val="000B33BC"/>
    <w:rsid w:val="000B3A74"/>
    <w:rsid w:val="000C2E38"/>
    <w:rsid w:val="000D04A0"/>
    <w:rsid w:val="000E1A28"/>
    <w:rsid w:val="000E70A1"/>
    <w:rsid w:val="000F6A82"/>
    <w:rsid w:val="00101942"/>
    <w:rsid w:val="00112875"/>
    <w:rsid w:val="00112B06"/>
    <w:rsid w:val="00124328"/>
    <w:rsid w:val="00124855"/>
    <w:rsid w:val="0012658A"/>
    <w:rsid w:val="0014039F"/>
    <w:rsid w:val="00146BCF"/>
    <w:rsid w:val="00153D56"/>
    <w:rsid w:val="0016053A"/>
    <w:rsid w:val="001635D4"/>
    <w:rsid w:val="00165686"/>
    <w:rsid w:val="0018340B"/>
    <w:rsid w:val="00187B12"/>
    <w:rsid w:val="001B745F"/>
    <w:rsid w:val="001C5C1C"/>
    <w:rsid w:val="001D7DD7"/>
    <w:rsid w:val="001E23AB"/>
    <w:rsid w:val="001E3388"/>
    <w:rsid w:val="001F0AD3"/>
    <w:rsid w:val="002016F0"/>
    <w:rsid w:val="00223D23"/>
    <w:rsid w:val="00230961"/>
    <w:rsid w:val="002361E5"/>
    <w:rsid w:val="00243FA9"/>
    <w:rsid w:val="00245B0F"/>
    <w:rsid w:val="002545F7"/>
    <w:rsid w:val="00257A30"/>
    <w:rsid w:val="00262028"/>
    <w:rsid w:val="00273FB3"/>
    <w:rsid w:val="00274237"/>
    <w:rsid w:val="00283390"/>
    <w:rsid w:val="002866CE"/>
    <w:rsid w:val="00286BF0"/>
    <w:rsid w:val="002902D1"/>
    <w:rsid w:val="002A18B9"/>
    <w:rsid w:val="002A422E"/>
    <w:rsid w:val="002C0125"/>
    <w:rsid w:val="002C52CC"/>
    <w:rsid w:val="002D6E86"/>
    <w:rsid w:val="002E5B62"/>
    <w:rsid w:val="002E695E"/>
    <w:rsid w:val="002F27DB"/>
    <w:rsid w:val="003013ED"/>
    <w:rsid w:val="00302301"/>
    <w:rsid w:val="00306312"/>
    <w:rsid w:val="00310364"/>
    <w:rsid w:val="00322A72"/>
    <w:rsid w:val="0033792A"/>
    <w:rsid w:val="00345D2D"/>
    <w:rsid w:val="00353926"/>
    <w:rsid w:val="003630CF"/>
    <w:rsid w:val="00373FC3"/>
    <w:rsid w:val="00383D3A"/>
    <w:rsid w:val="003B36BF"/>
    <w:rsid w:val="003B6493"/>
    <w:rsid w:val="003D6049"/>
    <w:rsid w:val="003F0162"/>
    <w:rsid w:val="003F1245"/>
    <w:rsid w:val="003F7718"/>
    <w:rsid w:val="0040181E"/>
    <w:rsid w:val="0040281A"/>
    <w:rsid w:val="004037AC"/>
    <w:rsid w:val="004117C9"/>
    <w:rsid w:val="004132D9"/>
    <w:rsid w:val="004215BF"/>
    <w:rsid w:val="00437E0D"/>
    <w:rsid w:val="00442660"/>
    <w:rsid w:val="00444535"/>
    <w:rsid w:val="004531D0"/>
    <w:rsid w:val="00454309"/>
    <w:rsid w:val="004569E9"/>
    <w:rsid w:val="00470289"/>
    <w:rsid w:val="00497640"/>
    <w:rsid w:val="004A2815"/>
    <w:rsid w:val="004A4FCD"/>
    <w:rsid w:val="004A5397"/>
    <w:rsid w:val="004A74A0"/>
    <w:rsid w:val="004B13F1"/>
    <w:rsid w:val="004B52F9"/>
    <w:rsid w:val="004B5F0C"/>
    <w:rsid w:val="004D03B5"/>
    <w:rsid w:val="004E3453"/>
    <w:rsid w:val="004E739E"/>
    <w:rsid w:val="004F6FF0"/>
    <w:rsid w:val="00510C2C"/>
    <w:rsid w:val="00511CFA"/>
    <w:rsid w:val="0052101D"/>
    <w:rsid w:val="0053058D"/>
    <w:rsid w:val="00533E15"/>
    <w:rsid w:val="005358EE"/>
    <w:rsid w:val="00537A7A"/>
    <w:rsid w:val="00550CF1"/>
    <w:rsid w:val="005547E7"/>
    <w:rsid w:val="005575F5"/>
    <w:rsid w:val="00562831"/>
    <w:rsid w:val="00563260"/>
    <w:rsid w:val="00565305"/>
    <w:rsid w:val="00590C39"/>
    <w:rsid w:val="005B033C"/>
    <w:rsid w:val="005C286F"/>
    <w:rsid w:val="005D092D"/>
    <w:rsid w:val="005D1215"/>
    <w:rsid w:val="005D2702"/>
    <w:rsid w:val="005E3EE3"/>
    <w:rsid w:val="005E5A55"/>
    <w:rsid w:val="006137ED"/>
    <w:rsid w:val="00621C32"/>
    <w:rsid w:val="0062209E"/>
    <w:rsid w:val="006251E5"/>
    <w:rsid w:val="00627EC2"/>
    <w:rsid w:val="006300B4"/>
    <w:rsid w:val="00633C5E"/>
    <w:rsid w:val="0064069F"/>
    <w:rsid w:val="006524F5"/>
    <w:rsid w:val="006536CF"/>
    <w:rsid w:val="00660B27"/>
    <w:rsid w:val="00687D70"/>
    <w:rsid w:val="00691870"/>
    <w:rsid w:val="00691C07"/>
    <w:rsid w:val="006A4ACA"/>
    <w:rsid w:val="006C3D24"/>
    <w:rsid w:val="006D4FCF"/>
    <w:rsid w:val="006D7BC2"/>
    <w:rsid w:val="006E4260"/>
    <w:rsid w:val="007072C0"/>
    <w:rsid w:val="00712925"/>
    <w:rsid w:val="00713DD7"/>
    <w:rsid w:val="00717A2E"/>
    <w:rsid w:val="0072405F"/>
    <w:rsid w:val="00726AA5"/>
    <w:rsid w:val="007311E1"/>
    <w:rsid w:val="007377AB"/>
    <w:rsid w:val="00740096"/>
    <w:rsid w:val="00741369"/>
    <w:rsid w:val="007420F0"/>
    <w:rsid w:val="00747FAC"/>
    <w:rsid w:val="007513F3"/>
    <w:rsid w:val="007703D9"/>
    <w:rsid w:val="00774BF1"/>
    <w:rsid w:val="007768F5"/>
    <w:rsid w:val="00777845"/>
    <w:rsid w:val="00781765"/>
    <w:rsid w:val="007A39B0"/>
    <w:rsid w:val="007A661A"/>
    <w:rsid w:val="007B4BBF"/>
    <w:rsid w:val="007C0813"/>
    <w:rsid w:val="007C2ACC"/>
    <w:rsid w:val="007C7C15"/>
    <w:rsid w:val="007D4B9B"/>
    <w:rsid w:val="007D4DDD"/>
    <w:rsid w:val="00810856"/>
    <w:rsid w:val="00823CF7"/>
    <w:rsid w:val="008262FE"/>
    <w:rsid w:val="00840E35"/>
    <w:rsid w:val="00853B03"/>
    <w:rsid w:val="00857A40"/>
    <w:rsid w:val="0086193B"/>
    <w:rsid w:val="008704A4"/>
    <w:rsid w:val="00872DAB"/>
    <w:rsid w:val="008774A6"/>
    <w:rsid w:val="00882907"/>
    <w:rsid w:val="00893C67"/>
    <w:rsid w:val="008B2D68"/>
    <w:rsid w:val="008C3BD7"/>
    <w:rsid w:val="008C7F61"/>
    <w:rsid w:val="008D642B"/>
    <w:rsid w:val="008E4CEC"/>
    <w:rsid w:val="008E6B1C"/>
    <w:rsid w:val="008F35F6"/>
    <w:rsid w:val="008F603B"/>
    <w:rsid w:val="008F6C5B"/>
    <w:rsid w:val="009036CD"/>
    <w:rsid w:val="009047DA"/>
    <w:rsid w:val="0090760C"/>
    <w:rsid w:val="00913497"/>
    <w:rsid w:val="00931054"/>
    <w:rsid w:val="00934E05"/>
    <w:rsid w:val="009608F0"/>
    <w:rsid w:val="00960F10"/>
    <w:rsid w:val="00975A87"/>
    <w:rsid w:val="00993C2C"/>
    <w:rsid w:val="00997A05"/>
    <w:rsid w:val="009C3051"/>
    <w:rsid w:val="009D37B4"/>
    <w:rsid w:val="009E0A1B"/>
    <w:rsid w:val="009F25B5"/>
    <w:rsid w:val="00A021FB"/>
    <w:rsid w:val="00A1122F"/>
    <w:rsid w:val="00A11247"/>
    <w:rsid w:val="00A12A16"/>
    <w:rsid w:val="00A14E41"/>
    <w:rsid w:val="00A1775A"/>
    <w:rsid w:val="00A202EA"/>
    <w:rsid w:val="00A24712"/>
    <w:rsid w:val="00A257E6"/>
    <w:rsid w:val="00A259A3"/>
    <w:rsid w:val="00A30380"/>
    <w:rsid w:val="00A32722"/>
    <w:rsid w:val="00A36E8C"/>
    <w:rsid w:val="00A50FAE"/>
    <w:rsid w:val="00A560DA"/>
    <w:rsid w:val="00A61D93"/>
    <w:rsid w:val="00A63046"/>
    <w:rsid w:val="00A7209F"/>
    <w:rsid w:val="00A873F8"/>
    <w:rsid w:val="00AB08CD"/>
    <w:rsid w:val="00AC3F3B"/>
    <w:rsid w:val="00AF349A"/>
    <w:rsid w:val="00B12167"/>
    <w:rsid w:val="00B12430"/>
    <w:rsid w:val="00B128E8"/>
    <w:rsid w:val="00B14C8C"/>
    <w:rsid w:val="00B1737F"/>
    <w:rsid w:val="00B177F7"/>
    <w:rsid w:val="00B21873"/>
    <w:rsid w:val="00B30BAF"/>
    <w:rsid w:val="00B32752"/>
    <w:rsid w:val="00B379D6"/>
    <w:rsid w:val="00B42C35"/>
    <w:rsid w:val="00B469C3"/>
    <w:rsid w:val="00B47583"/>
    <w:rsid w:val="00B51373"/>
    <w:rsid w:val="00B51572"/>
    <w:rsid w:val="00B6172A"/>
    <w:rsid w:val="00B65F48"/>
    <w:rsid w:val="00B70B49"/>
    <w:rsid w:val="00B71CF9"/>
    <w:rsid w:val="00B80733"/>
    <w:rsid w:val="00B815A4"/>
    <w:rsid w:val="00B864D0"/>
    <w:rsid w:val="00B97C9B"/>
    <w:rsid w:val="00BA26ED"/>
    <w:rsid w:val="00BB303C"/>
    <w:rsid w:val="00BC1B88"/>
    <w:rsid w:val="00BC3808"/>
    <w:rsid w:val="00BD1B59"/>
    <w:rsid w:val="00BD5804"/>
    <w:rsid w:val="00BE0FB8"/>
    <w:rsid w:val="00BE16D9"/>
    <w:rsid w:val="00BE2B49"/>
    <w:rsid w:val="00BE3652"/>
    <w:rsid w:val="00BF2B5A"/>
    <w:rsid w:val="00BF342A"/>
    <w:rsid w:val="00C0532D"/>
    <w:rsid w:val="00C33021"/>
    <w:rsid w:val="00C37430"/>
    <w:rsid w:val="00C403B1"/>
    <w:rsid w:val="00C42DC7"/>
    <w:rsid w:val="00C463B3"/>
    <w:rsid w:val="00C55387"/>
    <w:rsid w:val="00C556C4"/>
    <w:rsid w:val="00C56830"/>
    <w:rsid w:val="00C617DB"/>
    <w:rsid w:val="00C61CBE"/>
    <w:rsid w:val="00C704CD"/>
    <w:rsid w:val="00C71C1C"/>
    <w:rsid w:val="00C83AF7"/>
    <w:rsid w:val="00CA138C"/>
    <w:rsid w:val="00CA4165"/>
    <w:rsid w:val="00CA652B"/>
    <w:rsid w:val="00CB6576"/>
    <w:rsid w:val="00CC637F"/>
    <w:rsid w:val="00CC6FE0"/>
    <w:rsid w:val="00CC7570"/>
    <w:rsid w:val="00CD0872"/>
    <w:rsid w:val="00CD6C6C"/>
    <w:rsid w:val="00CE171E"/>
    <w:rsid w:val="00CF2A28"/>
    <w:rsid w:val="00CF65E9"/>
    <w:rsid w:val="00D066B4"/>
    <w:rsid w:val="00D259D6"/>
    <w:rsid w:val="00D36FA5"/>
    <w:rsid w:val="00D7580F"/>
    <w:rsid w:val="00D97AC6"/>
    <w:rsid w:val="00DC3592"/>
    <w:rsid w:val="00DC3CCA"/>
    <w:rsid w:val="00DD4D89"/>
    <w:rsid w:val="00DD6BB7"/>
    <w:rsid w:val="00DF282D"/>
    <w:rsid w:val="00DF2BCE"/>
    <w:rsid w:val="00DF5E44"/>
    <w:rsid w:val="00E02FA2"/>
    <w:rsid w:val="00E06BD4"/>
    <w:rsid w:val="00E162A4"/>
    <w:rsid w:val="00E17AE0"/>
    <w:rsid w:val="00E271D4"/>
    <w:rsid w:val="00E36C97"/>
    <w:rsid w:val="00E4099E"/>
    <w:rsid w:val="00E47FFD"/>
    <w:rsid w:val="00E522EC"/>
    <w:rsid w:val="00E534A2"/>
    <w:rsid w:val="00E554EE"/>
    <w:rsid w:val="00E56918"/>
    <w:rsid w:val="00E64FBA"/>
    <w:rsid w:val="00E6704F"/>
    <w:rsid w:val="00E7450A"/>
    <w:rsid w:val="00E858B0"/>
    <w:rsid w:val="00E9363A"/>
    <w:rsid w:val="00E96FC2"/>
    <w:rsid w:val="00EB17D2"/>
    <w:rsid w:val="00EB52F9"/>
    <w:rsid w:val="00EB6C22"/>
    <w:rsid w:val="00EC21E5"/>
    <w:rsid w:val="00EC7891"/>
    <w:rsid w:val="00EE1027"/>
    <w:rsid w:val="00EE11D0"/>
    <w:rsid w:val="00EE4705"/>
    <w:rsid w:val="00F00C5A"/>
    <w:rsid w:val="00F011B7"/>
    <w:rsid w:val="00F015A8"/>
    <w:rsid w:val="00F07D30"/>
    <w:rsid w:val="00F27D2E"/>
    <w:rsid w:val="00F44673"/>
    <w:rsid w:val="00F47C91"/>
    <w:rsid w:val="00F61237"/>
    <w:rsid w:val="00F80949"/>
    <w:rsid w:val="00F84648"/>
    <w:rsid w:val="00F874C9"/>
    <w:rsid w:val="00FA5850"/>
    <w:rsid w:val="00FB0919"/>
    <w:rsid w:val="00FB54E5"/>
    <w:rsid w:val="00FC178F"/>
    <w:rsid w:val="00FD15A7"/>
    <w:rsid w:val="00FD72DE"/>
    <w:rsid w:val="00FD77B0"/>
    <w:rsid w:val="00FE1812"/>
    <w:rsid w:val="00FE491A"/>
    <w:rsid w:val="00FE621E"/>
    <w:rsid w:val="00FF172C"/>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Calibri"/>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14D39"/>
    <w:pPr>
      <w:spacing w:after="200" w:line="276" w:lineRule="auto"/>
    </w:pPr>
    <w:rPr>
      <w:rFonts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qFormat/>
    <w:rsid w:val="00BE16D9"/>
    <w:pPr>
      <w:ind w:left="720"/>
      <w:contextualSpacing/>
    </w:pPr>
  </w:style>
  <w:style w:type="paragraph" w:styleId="Caption">
    <w:name w:val="caption"/>
    <w:basedOn w:val="Normal"/>
    <w:next w:val="Normal"/>
    <w:uiPriority w:val="99"/>
    <w:qFormat/>
    <w:rsid w:val="00B864D0"/>
    <w:pPr>
      <w:spacing w:line="240" w:lineRule="auto"/>
    </w:pPr>
    <w:rPr>
      <w:b/>
      <w:bCs/>
      <w:color w:val="4F81BD"/>
      <w:sz w:val="18"/>
      <w:szCs w:val="18"/>
    </w:rPr>
  </w:style>
  <w:style w:type="table" w:styleId="TableGrid">
    <w:name w:val="Table Grid"/>
    <w:basedOn w:val="TableNormal"/>
    <w:uiPriority w:val="99"/>
    <w:rsid w:val="008774A6"/>
    <w:rPr>
      <w:rFonts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0E70A1"/>
    <w:pPr>
      <w:tabs>
        <w:tab w:val="center" w:pos="4680"/>
        <w:tab w:val="right" w:pos="9360"/>
      </w:tabs>
      <w:spacing w:after="0" w:line="240" w:lineRule="auto"/>
    </w:pPr>
  </w:style>
  <w:style w:type="character" w:customStyle="1" w:styleId="HeaderChar">
    <w:name w:val="Header Char"/>
    <w:basedOn w:val="DefaultParagraphFont"/>
    <w:link w:val="Header"/>
    <w:uiPriority w:val="99"/>
    <w:locked/>
    <w:rsid w:val="000E70A1"/>
    <w:rPr>
      <w:rFonts w:cs="Times New Roman"/>
    </w:rPr>
  </w:style>
  <w:style w:type="paragraph" w:styleId="Footer">
    <w:name w:val="footer"/>
    <w:basedOn w:val="Normal"/>
    <w:link w:val="FooterChar"/>
    <w:uiPriority w:val="99"/>
    <w:rsid w:val="000E70A1"/>
    <w:pPr>
      <w:tabs>
        <w:tab w:val="center" w:pos="4680"/>
        <w:tab w:val="right" w:pos="9360"/>
      </w:tabs>
      <w:spacing w:after="0" w:line="240" w:lineRule="auto"/>
    </w:pPr>
  </w:style>
  <w:style w:type="character" w:customStyle="1" w:styleId="FooterChar">
    <w:name w:val="Footer Char"/>
    <w:basedOn w:val="DefaultParagraphFont"/>
    <w:link w:val="Footer"/>
    <w:uiPriority w:val="99"/>
    <w:locked/>
    <w:rsid w:val="000E70A1"/>
    <w:rPr>
      <w:rFonts w:cs="Times New Roman"/>
    </w:rPr>
  </w:style>
  <w:style w:type="paragraph" w:styleId="FootnoteText">
    <w:name w:val="footnote text"/>
    <w:basedOn w:val="Normal"/>
    <w:link w:val="FootnoteTextChar"/>
    <w:uiPriority w:val="99"/>
    <w:rsid w:val="00993C2C"/>
    <w:pPr>
      <w:spacing w:after="0" w:line="240" w:lineRule="auto"/>
    </w:pPr>
    <w:rPr>
      <w:sz w:val="20"/>
      <w:szCs w:val="20"/>
    </w:rPr>
  </w:style>
  <w:style w:type="character" w:customStyle="1" w:styleId="FootnoteTextChar">
    <w:name w:val="Footnote Text Char"/>
    <w:basedOn w:val="DefaultParagraphFont"/>
    <w:link w:val="FootnoteText"/>
    <w:uiPriority w:val="99"/>
    <w:locked/>
    <w:rsid w:val="00993C2C"/>
    <w:rPr>
      <w:rFonts w:cs="Times New Roman"/>
      <w:sz w:val="20"/>
      <w:szCs w:val="20"/>
    </w:rPr>
  </w:style>
  <w:style w:type="character" w:styleId="FootnoteReference">
    <w:name w:val="footnote reference"/>
    <w:basedOn w:val="DefaultParagraphFont"/>
    <w:uiPriority w:val="99"/>
    <w:rsid w:val="00993C2C"/>
    <w:rPr>
      <w:rFonts w:cs="Times New Roman"/>
      <w:vertAlign w:val="superscript"/>
    </w:rPr>
  </w:style>
  <w:style w:type="character" w:styleId="CommentReference">
    <w:name w:val="annotation reference"/>
    <w:basedOn w:val="DefaultParagraphFont"/>
    <w:uiPriority w:val="99"/>
    <w:semiHidden/>
    <w:unhideWhenUsed/>
    <w:rsid w:val="00FD15A7"/>
    <w:rPr>
      <w:rFonts w:cs="Times New Roman"/>
      <w:sz w:val="16"/>
      <w:szCs w:val="16"/>
    </w:rPr>
  </w:style>
  <w:style w:type="paragraph" w:styleId="CommentText">
    <w:name w:val="annotation text"/>
    <w:basedOn w:val="Normal"/>
    <w:link w:val="CommentTextChar"/>
    <w:uiPriority w:val="99"/>
    <w:semiHidden/>
    <w:unhideWhenUsed/>
    <w:rsid w:val="00FD15A7"/>
    <w:pPr>
      <w:spacing w:line="240" w:lineRule="auto"/>
    </w:pPr>
    <w:rPr>
      <w:sz w:val="20"/>
      <w:szCs w:val="20"/>
    </w:rPr>
  </w:style>
  <w:style w:type="character" w:customStyle="1" w:styleId="CommentTextChar">
    <w:name w:val="Comment Text Char"/>
    <w:basedOn w:val="DefaultParagraphFont"/>
    <w:link w:val="CommentText"/>
    <w:uiPriority w:val="99"/>
    <w:semiHidden/>
    <w:locked/>
    <w:rsid w:val="00FD15A7"/>
    <w:rPr>
      <w:rFonts w:cs="Times New Roman"/>
      <w:sz w:val="20"/>
      <w:szCs w:val="20"/>
    </w:rPr>
  </w:style>
  <w:style w:type="paragraph" w:styleId="CommentSubject">
    <w:name w:val="annotation subject"/>
    <w:basedOn w:val="CommentText"/>
    <w:next w:val="CommentText"/>
    <w:link w:val="CommentSubjectChar"/>
    <w:uiPriority w:val="99"/>
    <w:semiHidden/>
    <w:unhideWhenUsed/>
    <w:rsid w:val="00FD15A7"/>
    <w:rPr>
      <w:b/>
      <w:bCs/>
    </w:rPr>
  </w:style>
  <w:style w:type="character" w:customStyle="1" w:styleId="CommentSubjectChar">
    <w:name w:val="Comment Subject Char"/>
    <w:basedOn w:val="CommentTextChar"/>
    <w:link w:val="CommentSubject"/>
    <w:uiPriority w:val="99"/>
    <w:semiHidden/>
    <w:locked/>
    <w:rsid w:val="00FD15A7"/>
    <w:rPr>
      <w:rFonts w:cs="Times New Roman"/>
      <w:b/>
      <w:bCs/>
      <w:sz w:val="20"/>
      <w:szCs w:val="20"/>
    </w:rPr>
  </w:style>
  <w:style w:type="paragraph" w:styleId="BalloonText">
    <w:name w:val="Balloon Text"/>
    <w:basedOn w:val="Normal"/>
    <w:link w:val="BalloonTextChar"/>
    <w:uiPriority w:val="99"/>
    <w:semiHidden/>
    <w:unhideWhenUsed/>
    <w:rsid w:val="00FD15A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FD15A7"/>
    <w:rPr>
      <w:rFonts w:ascii="Tahoma" w:hAnsi="Tahoma" w:cs="Tahoma"/>
      <w:sz w:val="16"/>
      <w:szCs w:val="16"/>
    </w:rPr>
  </w:style>
  <w:style w:type="paragraph" w:styleId="EndnoteText">
    <w:name w:val="endnote text"/>
    <w:basedOn w:val="Normal"/>
    <w:link w:val="EndnoteTextChar"/>
    <w:uiPriority w:val="99"/>
    <w:semiHidden/>
    <w:unhideWhenUsed/>
    <w:rsid w:val="00095567"/>
    <w:pPr>
      <w:spacing w:after="0" w:line="240" w:lineRule="auto"/>
    </w:pPr>
    <w:rPr>
      <w:sz w:val="20"/>
      <w:szCs w:val="20"/>
    </w:rPr>
  </w:style>
  <w:style w:type="character" w:customStyle="1" w:styleId="EndnoteTextChar">
    <w:name w:val="Endnote Text Char"/>
    <w:basedOn w:val="DefaultParagraphFont"/>
    <w:link w:val="EndnoteText"/>
    <w:uiPriority w:val="99"/>
    <w:semiHidden/>
    <w:locked/>
    <w:rsid w:val="00095567"/>
    <w:rPr>
      <w:rFonts w:cs="Times New Roman"/>
      <w:sz w:val="20"/>
      <w:szCs w:val="20"/>
    </w:rPr>
  </w:style>
  <w:style w:type="character" w:styleId="EndnoteReference">
    <w:name w:val="endnote reference"/>
    <w:basedOn w:val="DefaultParagraphFont"/>
    <w:uiPriority w:val="99"/>
    <w:semiHidden/>
    <w:unhideWhenUsed/>
    <w:rsid w:val="00095567"/>
    <w:rPr>
      <w:rFonts w:cs="Times New Roman"/>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82523038">
      <w:marLeft w:val="0"/>
      <w:marRight w:val="0"/>
      <w:marTop w:val="0"/>
      <w:marBottom w:val="0"/>
      <w:divBdr>
        <w:top w:val="none" w:sz="0" w:space="0" w:color="auto"/>
        <w:left w:val="none" w:sz="0" w:space="0" w:color="auto"/>
        <w:bottom w:val="none" w:sz="0" w:space="0" w:color="auto"/>
        <w:right w:val="none" w:sz="0" w:space="0" w:color="auto"/>
      </w:divBdr>
    </w:div>
    <w:div w:id="882523039">
      <w:marLeft w:val="0"/>
      <w:marRight w:val="0"/>
      <w:marTop w:val="0"/>
      <w:marBottom w:val="0"/>
      <w:divBdr>
        <w:top w:val="none" w:sz="0" w:space="0" w:color="auto"/>
        <w:left w:val="none" w:sz="0" w:space="0" w:color="auto"/>
        <w:bottom w:val="none" w:sz="0" w:space="0" w:color="auto"/>
        <w:right w:val="none" w:sz="0" w:space="0" w:color="auto"/>
      </w:divBdr>
    </w:div>
    <w:div w:id="882523040">
      <w:marLeft w:val="0"/>
      <w:marRight w:val="0"/>
      <w:marTop w:val="0"/>
      <w:marBottom w:val="0"/>
      <w:divBdr>
        <w:top w:val="none" w:sz="0" w:space="0" w:color="auto"/>
        <w:left w:val="none" w:sz="0" w:space="0" w:color="auto"/>
        <w:bottom w:val="none" w:sz="0" w:space="0" w:color="auto"/>
        <w:right w:val="none" w:sz="0" w:space="0" w:color="auto"/>
      </w:divBdr>
    </w:div>
    <w:div w:id="88252304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package" Target="embeddings/Microsoft_Excel_Worksheet1.xlsx"/><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F8A754-00B0-405D-BF74-F414758CDF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5468</Words>
  <Characters>31172</Characters>
  <Application>Microsoft Office Word</Application>
  <DocSecurity>0</DocSecurity>
  <Lines>259</Lines>
  <Paragraphs>73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36567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KJM</dc:creator>
  <cp:lastModifiedBy>Kevin Madison</cp:lastModifiedBy>
  <cp:revision>2</cp:revision>
  <cp:lastPrinted>2012-05-14T19:29:00Z</cp:lastPrinted>
  <dcterms:created xsi:type="dcterms:W3CDTF">2013-05-02T22:25:00Z</dcterms:created>
  <dcterms:modified xsi:type="dcterms:W3CDTF">2013-05-02T22:25:00Z</dcterms:modified>
</cp:coreProperties>
</file>