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19" w:rsidRDefault="00794019" w:rsidP="00794019">
      <w:pPr>
        <w:spacing w:after="0" w:line="240" w:lineRule="auto"/>
        <w:rPr>
          <w:b/>
          <w:sz w:val="24"/>
          <w:szCs w:val="24"/>
        </w:rPr>
      </w:pPr>
      <w:bookmarkStart w:id="0" w:name="_top"/>
      <w:bookmarkEnd w:id="0"/>
      <w:r>
        <w:rPr>
          <w:b/>
          <w:sz w:val="24"/>
          <w:szCs w:val="24"/>
        </w:rPr>
        <w:t>WORKPAPER DISPOSITION FOR</w:t>
      </w:r>
    </w:p>
    <w:p w:rsidR="00794019" w:rsidRDefault="0073301D" w:rsidP="00794019">
      <w:pPr>
        <w:spacing w:after="0" w:line="240" w:lineRule="auto"/>
        <w:rPr>
          <w:b/>
          <w:sz w:val="24"/>
          <w:szCs w:val="24"/>
        </w:rPr>
      </w:pPr>
      <w:r>
        <w:rPr>
          <w:b/>
          <w:sz w:val="24"/>
          <w:szCs w:val="24"/>
        </w:rPr>
        <w:t xml:space="preserve">Refrigerator </w:t>
      </w:r>
      <w:r w:rsidR="000E4D1E">
        <w:rPr>
          <w:b/>
          <w:sz w:val="24"/>
          <w:szCs w:val="24"/>
        </w:rPr>
        <w:t xml:space="preserve">and Freezer </w:t>
      </w:r>
      <w:r>
        <w:rPr>
          <w:b/>
          <w:sz w:val="24"/>
          <w:szCs w:val="24"/>
        </w:rPr>
        <w:t>Recycling</w:t>
      </w:r>
    </w:p>
    <w:p w:rsidR="00794019" w:rsidRDefault="00794019" w:rsidP="00794019">
      <w:pPr>
        <w:spacing w:after="0" w:line="240" w:lineRule="auto"/>
        <w:rPr>
          <w:b/>
          <w:sz w:val="24"/>
          <w:szCs w:val="24"/>
        </w:rPr>
      </w:pPr>
      <w:r>
        <w:rPr>
          <w:b/>
          <w:sz w:val="24"/>
          <w:szCs w:val="24"/>
        </w:rPr>
        <w:t>California Public Utilities Commission, Energy Division</w:t>
      </w:r>
    </w:p>
    <w:p w:rsidR="00CE231F" w:rsidRDefault="00DD4B1C" w:rsidP="00794019">
      <w:r>
        <w:t>March 1</w:t>
      </w:r>
      <w:r w:rsidR="00CE231F">
        <w:t>, 2013</w:t>
      </w:r>
    </w:p>
    <w:p w:rsidR="00794019" w:rsidRPr="00E534A2" w:rsidRDefault="00794019" w:rsidP="00794019">
      <w:r>
        <w:t xml:space="preserve">Refer to </w:t>
      </w:r>
      <w:r w:rsidR="00B14858">
        <w:fldChar w:fldCharType="begin"/>
      </w:r>
      <w:r>
        <w:instrText xml:space="preserve"> REF _Ref324175084 \h </w:instrText>
      </w:r>
      <w:r w:rsidR="00B14858">
        <w:fldChar w:fldCharType="separate"/>
      </w:r>
      <w:r w:rsidRPr="00E534A2">
        <w:t xml:space="preserve">Table </w:t>
      </w:r>
      <w:r>
        <w:rPr>
          <w:noProof/>
        </w:rPr>
        <w:t>1</w:t>
      </w:r>
      <w:r w:rsidR="00B14858">
        <w:fldChar w:fldCharType="end"/>
      </w:r>
      <w:r>
        <w:t xml:space="preserve"> for a list of currently submitted IOU </w:t>
      </w:r>
      <w:proofErr w:type="spellStart"/>
      <w:r>
        <w:t>workpapers</w:t>
      </w:r>
      <w:proofErr w:type="spellEnd"/>
      <w:r>
        <w:t xml:space="preserve"> </w:t>
      </w:r>
      <w:r w:rsidR="00FF188F">
        <w:t xml:space="preserve">that cover </w:t>
      </w:r>
      <w:r w:rsidR="0073301D">
        <w:t>refrigerator recycling</w:t>
      </w:r>
      <w:r>
        <w:t>.</w:t>
      </w:r>
    </w:p>
    <w:p w:rsidR="00794019" w:rsidRPr="00E534A2" w:rsidRDefault="00794019" w:rsidP="00794019">
      <w:pPr>
        <w:pStyle w:val="Caption"/>
        <w:keepNext/>
        <w:rPr>
          <w:sz w:val="22"/>
          <w:szCs w:val="22"/>
        </w:rPr>
      </w:pPr>
      <w:bookmarkStart w:id="1" w:name="_Ref324175084"/>
      <w:r w:rsidRPr="00E534A2">
        <w:rPr>
          <w:sz w:val="22"/>
          <w:szCs w:val="22"/>
        </w:rPr>
        <w:t xml:space="preserve">Table </w:t>
      </w:r>
      <w:r w:rsidR="00B14858">
        <w:rPr>
          <w:sz w:val="22"/>
          <w:szCs w:val="22"/>
        </w:rPr>
        <w:fldChar w:fldCharType="begin"/>
      </w:r>
      <w:r>
        <w:rPr>
          <w:sz w:val="22"/>
          <w:szCs w:val="22"/>
        </w:rPr>
        <w:instrText xml:space="preserve"> SEQ Table \* ARABIC </w:instrText>
      </w:r>
      <w:r w:rsidR="00B14858">
        <w:rPr>
          <w:sz w:val="22"/>
          <w:szCs w:val="22"/>
        </w:rPr>
        <w:fldChar w:fldCharType="separate"/>
      </w:r>
      <w:r w:rsidR="009C141F">
        <w:rPr>
          <w:noProof/>
          <w:sz w:val="22"/>
          <w:szCs w:val="22"/>
        </w:rPr>
        <w:t>1</w:t>
      </w:r>
      <w:r w:rsidR="00B14858">
        <w:rPr>
          <w:sz w:val="22"/>
          <w:szCs w:val="22"/>
        </w:rPr>
        <w:fldChar w:fldCharType="end"/>
      </w:r>
      <w:bookmarkEnd w:id="1"/>
      <w:r w:rsidR="00B512B1">
        <w:rPr>
          <w:sz w:val="22"/>
          <w:szCs w:val="22"/>
        </w:rPr>
        <w:t xml:space="preserve"> – </w:t>
      </w:r>
      <w:r w:rsidR="00E92D21">
        <w:rPr>
          <w:sz w:val="22"/>
          <w:szCs w:val="22"/>
        </w:rPr>
        <w:t>Refrigerator and Freezer Recycling</w:t>
      </w:r>
    </w:p>
    <w:tbl>
      <w:tblPr>
        <w:tblW w:w="92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6"/>
        <w:gridCol w:w="5265"/>
        <w:gridCol w:w="1764"/>
      </w:tblGrid>
      <w:tr w:rsidR="00794019" w:rsidRPr="008E6B1C" w:rsidTr="0025457E">
        <w:trPr>
          <w:trHeight w:val="287"/>
        </w:trPr>
        <w:tc>
          <w:tcPr>
            <w:tcW w:w="2256" w:type="dxa"/>
          </w:tcPr>
          <w:p w:rsidR="00794019" w:rsidRPr="008E6B1C" w:rsidRDefault="00794019" w:rsidP="001E7828">
            <w:pPr>
              <w:keepNext/>
              <w:spacing w:after="0" w:line="240" w:lineRule="auto"/>
              <w:rPr>
                <w:b/>
              </w:rPr>
            </w:pPr>
            <w:r w:rsidRPr="008E6B1C">
              <w:rPr>
                <w:b/>
              </w:rPr>
              <w:t>Workpaper ID</w:t>
            </w:r>
          </w:p>
        </w:tc>
        <w:tc>
          <w:tcPr>
            <w:tcW w:w="5265" w:type="dxa"/>
          </w:tcPr>
          <w:p w:rsidR="00794019" w:rsidRPr="008E6B1C" w:rsidRDefault="00794019" w:rsidP="001E7828">
            <w:pPr>
              <w:keepNext/>
              <w:spacing w:after="0" w:line="240" w:lineRule="auto"/>
              <w:rPr>
                <w:b/>
              </w:rPr>
            </w:pPr>
            <w:r w:rsidRPr="008E6B1C">
              <w:rPr>
                <w:b/>
              </w:rPr>
              <w:t>Workpaper Title</w:t>
            </w:r>
          </w:p>
        </w:tc>
        <w:tc>
          <w:tcPr>
            <w:tcW w:w="1764" w:type="dxa"/>
          </w:tcPr>
          <w:p w:rsidR="00794019" w:rsidRPr="008E6B1C" w:rsidRDefault="00B512B1" w:rsidP="001E7828">
            <w:pPr>
              <w:keepNext/>
              <w:spacing w:after="0" w:line="240" w:lineRule="auto"/>
              <w:rPr>
                <w:b/>
              </w:rPr>
            </w:pPr>
            <w:r>
              <w:rPr>
                <w:b/>
              </w:rPr>
              <w:t>Date</w:t>
            </w:r>
          </w:p>
        </w:tc>
      </w:tr>
      <w:tr w:rsidR="00081C45" w:rsidRPr="008E6B1C" w:rsidTr="0025457E">
        <w:trPr>
          <w:trHeight w:val="276"/>
        </w:trPr>
        <w:tc>
          <w:tcPr>
            <w:tcW w:w="2256" w:type="dxa"/>
            <w:tcBorders>
              <w:right w:val="nil"/>
            </w:tcBorders>
            <w:shd w:val="clear" w:color="auto" w:fill="BFBFBF"/>
          </w:tcPr>
          <w:p w:rsidR="00081C45" w:rsidRPr="008E6B1C" w:rsidRDefault="00081C45" w:rsidP="001E7828">
            <w:pPr>
              <w:keepNext/>
              <w:spacing w:after="0" w:line="240" w:lineRule="auto"/>
              <w:rPr>
                <w:b/>
              </w:rPr>
            </w:pPr>
            <w:r w:rsidRPr="008E6B1C">
              <w:rPr>
                <w:b/>
              </w:rPr>
              <w:t>SCE</w:t>
            </w:r>
          </w:p>
        </w:tc>
        <w:tc>
          <w:tcPr>
            <w:tcW w:w="5265" w:type="dxa"/>
            <w:tcBorders>
              <w:left w:val="nil"/>
              <w:right w:val="nil"/>
            </w:tcBorders>
            <w:shd w:val="clear" w:color="auto" w:fill="BFBFBF"/>
          </w:tcPr>
          <w:p w:rsidR="00081C45" w:rsidRPr="008E6B1C" w:rsidRDefault="00081C45" w:rsidP="001E7828">
            <w:pPr>
              <w:keepNext/>
              <w:spacing w:after="0" w:line="240" w:lineRule="auto"/>
            </w:pPr>
          </w:p>
        </w:tc>
        <w:tc>
          <w:tcPr>
            <w:tcW w:w="1764" w:type="dxa"/>
            <w:tcBorders>
              <w:left w:val="nil"/>
            </w:tcBorders>
            <w:shd w:val="clear" w:color="auto" w:fill="BFBFBF"/>
          </w:tcPr>
          <w:p w:rsidR="00081C45" w:rsidRPr="008E6B1C" w:rsidRDefault="00081C45" w:rsidP="001E7828">
            <w:pPr>
              <w:keepNext/>
              <w:spacing w:after="0" w:line="240" w:lineRule="auto"/>
            </w:pPr>
          </w:p>
        </w:tc>
      </w:tr>
      <w:tr w:rsidR="00081C45" w:rsidRPr="008E6B1C" w:rsidTr="0025457E">
        <w:trPr>
          <w:trHeight w:val="276"/>
        </w:trPr>
        <w:tc>
          <w:tcPr>
            <w:tcW w:w="2256" w:type="dxa"/>
          </w:tcPr>
          <w:p w:rsidR="00081C45" w:rsidRPr="008E6B1C" w:rsidRDefault="0073301D" w:rsidP="001E7828">
            <w:pPr>
              <w:keepNext/>
              <w:spacing w:after="0" w:line="240" w:lineRule="auto"/>
            </w:pPr>
            <w:r w:rsidRPr="0073301D">
              <w:t>SCE13AP007</w:t>
            </w:r>
          </w:p>
        </w:tc>
        <w:tc>
          <w:tcPr>
            <w:tcW w:w="5265" w:type="dxa"/>
          </w:tcPr>
          <w:p w:rsidR="00081C45" w:rsidRPr="008E6B1C" w:rsidRDefault="0073301D" w:rsidP="001E7828">
            <w:pPr>
              <w:keepNext/>
              <w:spacing w:after="0" w:line="240" w:lineRule="auto"/>
            </w:pPr>
            <w:r w:rsidRPr="0073301D">
              <w:t>Recycling of Appliances Preventing Continued Use</w:t>
            </w:r>
          </w:p>
        </w:tc>
        <w:tc>
          <w:tcPr>
            <w:tcW w:w="1764" w:type="dxa"/>
          </w:tcPr>
          <w:p w:rsidR="00081C45" w:rsidRPr="008E6B1C" w:rsidRDefault="0073301D" w:rsidP="001E7828">
            <w:pPr>
              <w:keepNext/>
              <w:spacing w:after="0" w:line="240" w:lineRule="auto"/>
              <w:jc w:val="right"/>
            </w:pPr>
            <w:r>
              <w:t>5/24/2012</w:t>
            </w:r>
          </w:p>
        </w:tc>
      </w:tr>
      <w:tr w:rsidR="00081C45" w:rsidRPr="008E6B1C" w:rsidTr="0025457E">
        <w:trPr>
          <w:trHeight w:val="276"/>
        </w:trPr>
        <w:tc>
          <w:tcPr>
            <w:tcW w:w="2256" w:type="dxa"/>
            <w:tcBorders>
              <w:right w:val="nil"/>
            </w:tcBorders>
            <w:shd w:val="pct25" w:color="auto" w:fill="auto"/>
          </w:tcPr>
          <w:p w:rsidR="00081C45" w:rsidRPr="008E6B1C" w:rsidRDefault="00081C45" w:rsidP="001E7828">
            <w:pPr>
              <w:keepNext/>
              <w:spacing w:after="0" w:line="240" w:lineRule="auto"/>
              <w:rPr>
                <w:b/>
              </w:rPr>
            </w:pPr>
            <w:r w:rsidRPr="008E6B1C">
              <w:rPr>
                <w:b/>
              </w:rPr>
              <w:t>PG&amp;E</w:t>
            </w:r>
          </w:p>
        </w:tc>
        <w:tc>
          <w:tcPr>
            <w:tcW w:w="5265" w:type="dxa"/>
            <w:tcBorders>
              <w:left w:val="nil"/>
              <w:right w:val="nil"/>
            </w:tcBorders>
            <w:shd w:val="pct25" w:color="auto" w:fill="auto"/>
          </w:tcPr>
          <w:p w:rsidR="00081C45" w:rsidRPr="008E6B1C" w:rsidRDefault="00081C45" w:rsidP="001E7828">
            <w:pPr>
              <w:keepNext/>
              <w:spacing w:after="0" w:line="240" w:lineRule="auto"/>
            </w:pPr>
          </w:p>
        </w:tc>
        <w:tc>
          <w:tcPr>
            <w:tcW w:w="1764" w:type="dxa"/>
            <w:tcBorders>
              <w:left w:val="nil"/>
            </w:tcBorders>
            <w:shd w:val="pct25" w:color="auto" w:fill="auto"/>
          </w:tcPr>
          <w:p w:rsidR="00081C45" w:rsidRPr="008E6B1C" w:rsidRDefault="00081C45" w:rsidP="001E7828">
            <w:pPr>
              <w:keepNext/>
              <w:spacing w:after="0" w:line="240" w:lineRule="auto"/>
              <w:jc w:val="right"/>
            </w:pPr>
          </w:p>
        </w:tc>
      </w:tr>
      <w:tr w:rsidR="00081C45" w:rsidRPr="008E6B1C" w:rsidTr="0025457E">
        <w:trPr>
          <w:trHeight w:val="276"/>
        </w:trPr>
        <w:tc>
          <w:tcPr>
            <w:tcW w:w="2256" w:type="dxa"/>
          </w:tcPr>
          <w:p w:rsidR="00081C45" w:rsidRPr="008E6B1C" w:rsidRDefault="0073301D" w:rsidP="001E7828">
            <w:pPr>
              <w:keepNext/>
              <w:spacing w:after="0" w:line="240" w:lineRule="auto"/>
            </w:pPr>
            <w:r w:rsidRPr="0073301D">
              <w:t>PGECOAPP119</w:t>
            </w:r>
          </w:p>
        </w:tc>
        <w:tc>
          <w:tcPr>
            <w:tcW w:w="5265" w:type="dxa"/>
          </w:tcPr>
          <w:p w:rsidR="00081C45" w:rsidRPr="008E6B1C" w:rsidRDefault="0073301D" w:rsidP="001E7828">
            <w:pPr>
              <w:keepNext/>
              <w:spacing w:after="0" w:line="240" w:lineRule="auto"/>
            </w:pPr>
            <w:r w:rsidRPr="0073301D">
              <w:t>Refrigerator or Freezer Recycling</w:t>
            </w:r>
          </w:p>
        </w:tc>
        <w:tc>
          <w:tcPr>
            <w:tcW w:w="1764" w:type="dxa"/>
          </w:tcPr>
          <w:p w:rsidR="00081C45" w:rsidRPr="008E6B1C" w:rsidRDefault="0073301D" w:rsidP="001E7828">
            <w:pPr>
              <w:keepNext/>
              <w:spacing w:after="0" w:line="240" w:lineRule="auto"/>
              <w:jc w:val="right"/>
            </w:pPr>
            <w:r>
              <w:t>6/25/2012</w:t>
            </w:r>
          </w:p>
        </w:tc>
      </w:tr>
    </w:tbl>
    <w:p w:rsidR="00794019" w:rsidRDefault="00794019" w:rsidP="00794019">
      <w:pPr>
        <w:tabs>
          <w:tab w:val="left" w:pos="2520"/>
        </w:tabs>
      </w:pPr>
    </w:p>
    <w:p w:rsidR="0025457E" w:rsidRPr="00E95B84" w:rsidRDefault="0025457E" w:rsidP="00794019">
      <w:pPr>
        <w:tabs>
          <w:tab w:val="left" w:pos="2520"/>
        </w:tabs>
        <w:rPr>
          <w:b/>
          <w:u w:val="single"/>
        </w:rPr>
      </w:pPr>
      <w:r w:rsidRPr="00E95B84">
        <w:rPr>
          <w:b/>
          <w:u w:val="single"/>
        </w:rPr>
        <w:t xml:space="preserve">Workpaper </w:t>
      </w:r>
      <w:r w:rsidR="00721A99" w:rsidRPr="00E95B84">
        <w:rPr>
          <w:b/>
          <w:u w:val="single"/>
        </w:rPr>
        <w:t>Disposition</w:t>
      </w:r>
      <w:r w:rsidRPr="00E95B84">
        <w:rPr>
          <w:b/>
          <w:u w:val="single"/>
        </w:rPr>
        <w:t>:</w:t>
      </w:r>
    </w:p>
    <w:p w:rsidR="00827882" w:rsidRPr="00E95B84" w:rsidRDefault="00827882" w:rsidP="00827882">
      <w:pPr>
        <w:tabs>
          <w:tab w:val="left" w:pos="2520"/>
        </w:tabs>
      </w:pPr>
      <w:r w:rsidRPr="00E95B84">
        <w:rPr>
          <w:b/>
        </w:rPr>
        <w:t>2013-2014 Disposition</w:t>
      </w:r>
      <w:r w:rsidR="0096429F" w:rsidRPr="00E95B84">
        <w:rPr>
          <w:b/>
        </w:rPr>
        <w:t xml:space="preserve"> </w:t>
      </w:r>
      <w:proofErr w:type="gramStart"/>
      <w:r w:rsidRPr="00E95B84">
        <w:rPr>
          <w:b/>
        </w:rPr>
        <w:t>Summary</w:t>
      </w:r>
      <w:bookmarkStart w:id="2" w:name="_GoBack"/>
      <w:bookmarkEnd w:id="2"/>
      <w:proofErr w:type="gramEnd"/>
    </w:p>
    <w:p w:rsidR="00E313C4" w:rsidRDefault="00107C02" w:rsidP="00827882">
      <w:pPr>
        <w:tabs>
          <w:tab w:val="left" w:pos="2520"/>
        </w:tabs>
      </w:pPr>
      <w:r>
        <w:t xml:space="preserve">PG&amp;E’s workpaper uses all DEER values and is mainly developed to link all DEER values together including savings, NTG, EUL and cost values. </w:t>
      </w:r>
      <w:r w:rsidR="00DD4B1C">
        <w:t xml:space="preserve">PG&amp;E’s workpaper is approved as submitted. </w:t>
      </w:r>
      <w:r>
        <w:t>SCE’s workpaper, in addition to linking DEER values together, includes the following additional measures:</w:t>
      </w:r>
    </w:p>
    <w:p w:rsidR="00107C02" w:rsidRDefault="00107C02" w:rsidP="00107C02">
      <w:pPr>
        <w:pStyle w:val="ListParagraph"/>
        <w:numPr>
          <w:ilvl w:val="0"/>
          <w:numId w:val="12"/>
        </w:numPr>
        <w:tabs>
          <w:tab w:val="left" w:pos="2520"/>
        </w:tabs>
      </w:pPr>
      <w:r>
        <w:t>Retailer collection of appliances: The retailer who sells a new appliance will collect the replaced appliance from the customer. This method assumes a 9% higher savings for each collected appliance.</w:t>
      </w:r>
    </w:p>
    <w:p w:rsidR="00107C02" w:rsidRDefault="00107C02" w:rsidP="00107C02">
      <w:pPr>
        <w:pStyle w:val="ListParagraph"/>
        <w:numPr>
          <w:ilvl w:val="0"/>
          <w:numId w:val="12"/>
        </w:numPr>
        <w:tabs>
          <w:tab w:val="left" w:pos="2520"/>
        </w:tabs>
      </w:pPr>
      <w:r>
        <w:t xml:space="preserve">DEER </w:t>
      </w:r>
      <w:r w:rsidR="000E4D1E">
        <w:t>nonresidential</w:t>
      </w:r>
      <w:r>
        <w:t xml:space="preserve"> building types: Savings values for appliances collected from DEER </w:t>
      </w:r>
      <w:r w:rsidR="000E4D1E">
        <w:t>nonresidential</w:t>
      </w:r>
      <w:r>
        <w:t xml:space="preserve"> building types have different savings </w:t>
      </w:r>
      <w:proofErr w:type="gramStart"/>
      <w:r>
        <w:t>values,</w:t>
      </w:r>
      <w:proofErr w:type="gramEnd"/>
      <w:r>
        <w:t xml:space="preserve"> based on the DEER lighting interactive effects values.</w:t>
      </w:r>
    </w:p>
    <w:p w:rsidR="00107C02" w:rsidRDefault="00107C02" w:rsidP="00827882">
      <w:pPr>
        <w:tabs>
          <w:tab w:val="left" w:pos="2520"/>
        </w:tabs>
        <w:rPr>
          <w:b/>
        </w:rPr>
      </w:pPr>
    </w:p>
    <w:p w:rsidR="00107C02" w:rsidRPr="00107C02" w:rsidRDefault="00DD4B1C" w:rsidP="00827882">
      <w:pPr>
        <w:tabs>
          <w:tab w:val="left" w:pos="2520"/>
        </w:tabs>
        <w:rPr>
          <w:b/>
        </w:rPr>
      </w:pPr>
      <w:r>
        <w:rPr>
          <w:b/>
        </w:rPr>
        <w:t xml:space="preserve">SCE </w:t>
      </w:r>
      <w:r w:rsidR="00107C02">
        <w:rPr>
          <w:b/>
        </w:rPr>
        <w:t>Retailer Solution</w:t>
      </w:r>
    </w:p>
    <w:p w:rsidR="00DF1A9E" w:rsidRDefault="00107C02" w:rsidP="00827882">
      <w:pPr>
        <w:tabs>
          <w:tab w:val="left" w:pos="2520"/>
        </w:tabs>
      </w:pPr>
      <w:r>
        <w:t>S</w:t>
      </w:r>
      <w:r w:rsidR="00DF1A9E">
        <w:t xml:space="preserve">CE has </w:t>
      </w:r>
      <w:r w:rsidR="00DD4B1C">
        <w:t>proposed</w:t>
      </w:r>
      <w:r w:rsidR="00DF1A9E">
        <w:t xml:space="preserve"> a delivery mechanism whereby the appliance retailer is incented to collect the old appliance. SCE proposed greater savings for this collection method with the following justification:</w:t>
      </w:r>
    </w:p>
    <w:p w:rsidR="00DF1A9E" w:rsidRPr="006B0E2B" w:rsidRDefault="006B0E2B" w:rsidP="006B0E2B">
      <w:pPr>
        <w:tabs>
          <w:tab w:val="left" w:pos="2520"/>
        </w:tabs>
        <w:ind w:left="720"/>
        <w:rPr>
          <w:rFonts w:ascii="Times New Roman" w:hAnsi="Times New Roman"/>
          <w:i/>
        </w:rPr>
      </w:pPr>
      <w:r w:rsidRPr="006B0E2B">
        <w:rPr>
          <w:rFonts w:ascii="Times New Roman" w:hAnsi="Times New Roman"/>
          <w:i/>
        </w:rPr>
        <w:t xml:space="preserve">For the “retailer” solution codes (i.e. AP-NEW01 and AP-NEW02), the energy savings and demand reduction values of the </w:t>
      </w:r>
      <w:proofErr w:type="spellStart"/>
      <w:r w:rsidRPr="006B0E2B">
        <w:rPr>
          <w:rFonts w:ascii="Times New Roman" w:hAnsi="Times New Roman"/>
          <w:i/>
        </w:rPr>
        <w:t>READi</w:t>
      </w:r>
      <w:proofErr w:type="spellEnd"/>
      <w:r w:rsidRPr="006B0E2B">
        <w:rPr>
          <w:rFonts w:ascii="Times New Roman" w:hAnsi="Times New Roman"/>
          <w:i/>
        </w:rPr>
        <w:t xml:space="preserve"> outputs for standard refrigerator and freezer recycling were increased by 9%. This is because the SCE Retail Appliance Recycling Program Trial showed that the refrigerators and freezers recycled through the retail program consume on average 9% more than those recycled through the ARP [A]. To approximate these savings, the 9% increase was applied to the whole building values rather than the direct end use then apply interactive effects. The interactive effects used would either be CFL or Non-CFL lighting approximations. A closer representation would be the actual ARP results with interactive effects </w:t>
      </w:r>
      <w:r w:rsidRPr="006B0E2B">
        <w:rPr>
          <w:rFonts w:ascii="Times New Roman" w:hAnsi="Times New Roman"/>
          <w:i/>
        </w:rPr>
        <w:lastRenderedPageBreak/>
        <w:t>applied, recognizing there is a small (&lt; 1%) error when applying the 9% to the interactive effects as well.</w:t>
      </w:r>
    </w:p>
    <w:p w:rsidR="006B0E2B" w:rsidRDefault="006B0E2B" w:rsidP="006B0E2B">
      <w:pPr>
        <w:tabs>
          <w:tab w:val="left" w:pos="2520"/>
        </w:tabs>
      </w:pPr>
      <w:r>
        <w:t xml:space="preserve">The </w:t>
      </w:r>
      <w:r w:rsidR="00E313C4">
        <w:t>savings values for the retailer solution are</w:t>
      </w:r>
      <w:r>
        <w:t xml:space="preserve"> not approved for the following reasons:</w:t>
      </w:r>
    </w:p>
    <w:p w:rsidR="006B0E2B" w:rsidRDefault="006B0E2B" w:rsidP="006B0E2B">
      <w:pPr>
        <w:pStyle w:val="ListParagraph"/>
        <w:numPr>
          <w:ilvl w:val="0"/>
          <w:numId w:val="11"/>
        </w:numPr>
        <w:tabs>
          <w:tab w:val="left" w:pos="2520"/>
        </w:tabs>
      </w:pPr>
      <w:r>
        <w:t>Unit Energy Consumption (UEC) values for collected appliances contained in DEER</w:t>
      </w:r>
      <w:r w:rsidR="00554259">
        <w:t xml:space="preserve"> are based on the 0608 Residential Retrofit evaluation and</w:t>
      </w:r>
      <w:r>
        <w:t xml:space="preserve"> </w:t>
      </w:r>
      <w:proofErr w:type="gramStart"/>
      <w:r w:rsidR="00554259">
        <w:t>include</w:t>
      </w:r>
      <w:proofErr w:type="gramEnd"/>
      <w:r w:rsidR="00554259">
        <w:t xml:space="preserve"> all methods of collection including retailer collection of replaced appliances. Separating out one particular collection method where collected appliances have higher UECs, will in turn, lower the overall UECs of appliances collected using other methods. The workpaper does not consider this effect and uses the DEER UEC for appliances collected using other methods. In order to approve the retailer solution, the UECs for collected appliances need to be recalculated, with the retailer collected appliances being in their own category.</w:t>
      </w:r>
    </w:p>
    <w:p w:rsidR="00554259" w:rsidRPr="006B0E2B" w:rsidRDefault="00554259" w:rsidP="006B0E2B">
      <w:pPr>
        <w:pStyle w:val="ListParagraph"/>
        <w:numPr>
          <w:ilvl w:val="0"/>
          <w:numId w:val="11"/>
        </w:numPr>
        <w:tabs>
          <w:tab w:val="left" w:pos="2520"/>
        </w:tabs>
      </w:pPr>
      <w:r>
        <w:t>The retailer solution does not consider</w:t>
      </w:r>
      <w:r w:rsidR="00E313C4">
        <w:t xml:space="preserve"> the possibility of lower net-to-gross ratio. The Residential Retrofit evaluation identified “removal by dealer” as the most likely free-rider scenario for primary refrigerators in SCE’s service territory</w:t>
      </w:r>
      <w:r w:rsidR="00E313C4">
        <w:rPr>
          <w:rStyle w:val="FootnoteReference"/>
        </w:rPr>
        <w:footnoteReference w:id="1"/>
      </w:r>
      <w:r w:rsidR="00E313C4">
        <w:t>. It is likely that the NTG for the retailer solution is lower than the overall NTG identifie</w:t>
      </w:r>
      <w:r w:rsidR="006B0821">
        <w:t>d in the report and</w:t>
      </w:r>
      <w:r w:rsidR="00E313C4">
        <w:t xml:space="preserve"> incorporated into DEER.</w:t>
      </w:r>
    </w:p>
    <w:p w:rsidR="00107C02" w:rsidRDefault="00DD4B1C" w:rsidP="00827882">
      <w:pPr>
        <w:tabs>
          <w:tab w:val="left" w:pos="2520"/>
        </w:tabs>
      </w:pPr>
      <w:r>
        <w:t>Proposed savings values for the</w:t>
      </w:r>
      <w:r w:rsidR="00D94CFB">
        <w:t xml:space="preserve"> retailer solution </w:t>
      </w:r>
      <w:r>
        <w:t xml:space="preserve">are not approved. Instead the retailer solution </w:t>
      </w:r>
      <w:r w:rsidR="00D94CFB">
        <w:t>shall use the DEER savings values without modification.</w:t>
      </w:r>
    </w:p>
    <w:sectPr w:rsidR="00107C02" w:rsidSect="00721A99">
      <w:headerReference w:type="default" r:id="rId9"/>
      <w:footerReference w:type="default" r:id="rId10"/>
      <w:pgSz w:w="12240" w:h="15840"/>
      <w:pgMar w:top="1440" w:right="1440" w:bottom="1440" w:left="1440"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310" w:rsidRDefault="003E5310" w:rsidP="0025457E">
      <w:pPr>
        <w:spacing w:after="0" w:line="240" w:lineRule="auto"/>
      </w:pPr>
      <w:r>
        <w:separator/>
      </w:r>
    </w:p>
  </w:endnote>
  <w:endnote w:type="continuationSeparator" w:id="0">
    <w:p w:rsidR="003E5310" w:rsidRDefault="003E5310" w:rsidP="0025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143"/>
      <w:docPartObj>
        <w:docPartGallery w:val="Page Numbers (Top of Page)"/>
        <w:docPartUnique/>
      </w:docPartObj>
    </w:sdtPr>
    <w:sdtEndPr/>
    <w:sdtContent>
      <w:p w:rsidR="00327EBF" w:rsidRPr="00721A99" w:rsidRDefault="00327EBF" w:rsidP="0025457E">
        <w:pPr>
          <w:pStyle w:val="Header"/>
          <w:jc w:val="center"/>
        </w:pPr>
        <w:r>
          <w:t>Page</w:t>
        </w:r>
        <w:r w:rsidRPr="0025457E">
          <w:t xml:space="preserve"> </w:t>
        </w:r>
        <w:r w:rsidR="00B14858">
          <w:fldChar w:fldCharType="begin"/>
        </w:r>
        <w:r w:rsidR="00325F38">
          <w:instrText xml:space="preserve"> PAGE </w:instrText>
        </w:r>
        <w:r w:rsidR="00B14858">
          <w:fldChar w:fldCharType="separate"/>
        </w:r>
        <w:r w:rsidR="00DD4B1C">
          <w:rPr>
            <w:noProof/>
          </w:rPr>
          <w:t>2</w:t>
        </w:r>
        <w:r w:rsidR="00B14858">
          <w:rPr>
            <w:noProof/>
          </w:rPr>
          <w:fldChar w:fldCharType="end"/>
        </w:r>
        <w:r w:rsidRPr="0025457E">
          <w:t xml:space="preserve"> of </w:t>
        </w:r>
        <w:r w:rsidR="00B14858">
          <w:fldChar w:fldCharType="begin"/>
        </w:r>
        <w:r w:rsidR="00325F38">
          <w:instrText xml:space="preserve"> NUMPAGES  </w:instrText>
        </w:r>
        <w:r w:rsidR="00B14858">
          <w:fldChar w:fldCharType="separate"/>
        </w:r>
        <w:r w:rsidR="00DD4B1C">
          <w:rPr>
            <w:noProof/>
          </w:rPr>
          <w:t>2</w:t>
        </w:r>
        <w:r w:rsidR="00B14858">
          <w:rPr>
            <w:noProof/>
          </w:rPr>
          <w:fldChar w:fldCharType="end"/>
        </w:r>
      </w:p>
    </w:sdtContent>
  </w:sdt>
  <w:p w:rsidR="00327EBF" w:rsidRDefault="00327EBF">
    <w:pPr>
      <w:pStyle w:val="Footer"/>
    </w:pPr>
  </w:p>
  <w:p w:rsidR="00327EBF" w:rsidRDefault="00327E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310" w:rsidRDefault="003E5310" w:rsidP="0025457E">
      <w:pPr>
        <w:spacing w:after="0" w:line="240" w:lineRule="auto"/>
      </w:pPr>
      <w:r>
        <w:separator/>
      </w:r>
    </w:p>
  </w:footnote>
  <w:footnote w:type="continuationSeparator" w:id="0">
    <w:p w:rsidR="003E5310" w:rsidRDefault="003E5310" w:rsidP="0025457E">
      <w:pPr>
        <w:spacing w:after="0" w:line="240" w:lineRule="auto"/>
      </w:pPr>
      <w:r>
        <w:continuationSeparator/>
      </w:r>
    </w:p>
  </w:footnote>
  <w:footnote w:id="1">
    <w:p w:rsidR="00E313C4" w:rsidRDefault="00E313C4">
      <w:pPr>
        <w:pStyle w:val="FootnoteText"/>
      </w:pPr>
      <w:r>
        <w:rPr>
          <w:rStyle w:val="FootnoteReference"/>
        </w:rPr>
        <w:footnoteRef/>
      </w:r>
      <w:r>
        <w:t xml:space="preserve"> Residential Retrofit High Impact Measure Evaluation Report, CPUC, February 8, 1010, Table 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BF" w:rsidRPr="007B4BBF" w:rsidRDefault="00327EBF" w:rsidP="0025457E">
    <w:pPr>
      <w:pStyle w:val="Header"/>
      <w:rPr>
        <w:sz w:val="18"/>
        <w:szCs w:val="18"/>
      </w:rPr>
    </w:pPr>
    <w:r w:rsidRPr="007B4BBF">
      <w:rPr>
        <w:sz w:val="18"/>
        <w:szCs w:val="18"/>
      </w:rPr>
      <w:t xml:space="preserve">WORKPAPER DISPOSITION FOR </w:t>
    </w:r>
    <w:r w:rsidR="00107C02">
      <w:rPr>
        <w:sz w:val="18"/>
        <w:szCs w:val="18"/>
      </w:rPr>
      <w:t>REFRIGERATOR AND FREEZER RECYCLING</w:t>
    </w:r>
  </w:p>
  <w:p w:rsidR="00327EBF" w:rsidRDefault="00327EBF">
    <w:pPr>
      <w:pStyle w:val="Header"/>
      <w:rPr>
        <w:sz w:val="18"/>
        <w:szCs w:val="18"/>
      </w:rPr>
    </w:pPr>
    <w:r w:rsidRPr="007B4BBF">
      <w:rPr>
        <w:sz w:val="18"/>
        <w:szCs w:val="18"/>
      </w:rPr>
      <w:t>California Public Utilities Commission, Energy Division</w:t>
    </w:r>
  </w:p>
  <w:p w:rsidR="00107C02" w:rsidRPr="00107C02" w:rsidRDefault="00DD4B1C">
    <w:pPr>
      <w:pStyle w:val="Header"/>
      <w:rPr>
        <w:sz w:val="18"/>
        <w:szCs w:val="18"/>
      </w:rPr>
    </w:pPr>
    <w:r>
      <w:rPr>
        <w:sz w:val="18"/>
        <w:szCs w:val="18"/>
      </w:rPr>
      <w:t>March 1</w:t>
    </w:r>
    <w:r w:rsidR="00107C02">
      <w:rPr>
        <w:sz w:val="18"/>
        <w:szCs w:val="18"/>
      </w:rPr>
      <w:t>, 2013</w:t>
    </w:r>
  </w:p>
  <w:p w:rsidR="00107C02" w:rsidRDefault="00107C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47F1"/>
    <w:multiLevelType w:val="hybridMultilevel"/>
    <w:tmpl w:val="7868A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28194A"/>
    <w:multiLevelType w:val="hybridMultilevel"/>
    <w:tmpl w:val="BCFEF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9B4C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781397F"/>
    <w:multiLevelType w:val="hybridMultilevel"/>
    <w:tmpl w:val="F5BE3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570578"/>
    <w:multiLevelType w:val="hybridMultilevel"/>
    <w:tmpl w:val="D51661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B0C71"/>
    <w:multiLevelType w:val="hybridMultilevel"/>
    <w:tmpl w:val="E396B6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6C25A1"/>
    <w:multiLevelType w:val="hybridMultilevel"/>
    <w:tmpl w:val="A0B27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9B181E"/>
    <w:multiLevelType w:val="hybridMultilevel"/>
    <w:tmpl w:val="DFD69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B3205"/>
    <w:multiLevelType w:val="hybridMultilevel"/>
    <w:tmpl w:val="42B6C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D05411"/>
    <w:multiLevelType w:val="hybridMultilevel"/>
    <w:tmpl w:val="975A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4436F9"/>
    <w:multiLevelType w:val="hybridMultilevel"/>
    <w:tmpl w:val="E8AA6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6AF6968"/>
    <w:multiLevelType w:val="hybridMultilevel"/>
    <w:tmpl w:val="ACFCD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FD584F"/>
    <w:multiLevelType w:val="hybridMultilevel"/>
    <w:tmpl w:val="15A83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4"/>
  </w:num>
  <w:num w:numId="5">
    <w:abstractNumId w:val="10"/>
  </w:num>
  <w:num w:numId="6">
    <w:abstractNumId w:val="1"/>
  </w:num>
  <w:num w:numId="7">
    <w:abstractNumId w:val="12"/>
  </w:num>
  <w:num w:numId="8">
    <w:abstractNumId w:val="0"/>
  </w:num>
  <w:num w:numId="9">
    <w:abstractNumId w:val="9"/>
  </w:num>
  <w:num w:numId="10">
    <w:abstractNumId w:val="11"/>
  </w:num>
  <w:num w:numId="11">
    <w:abstractNumId w:val="3"/>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019"/>
    <w:rsid w:val="0005226A"/>
    <w:rsid w:val="00063103"/>
    <w:rsid w:val="00065F55"/>
    <w:rsid w:val="00081C45"/>
    <w:rsid w:val="000B7532"/>
    <w:rsid w:val="000C3508"/>
    <w:rsid w:val="000E4D1E"/>
    <w:rsid w:val="00107C02"/>
    <w:rsid w:val="00117089"/>
    <w:rsid w:val="001414AC"/>
    <w:rsid w:val="00170E4D"/>
    <w:rsid w:val="001D0C47"/>
    <w:rsid w:val="001D469D"/>
    <w:rsid w:val="001E7828"/>
    <w:rsid w:val="002156AD"/>
    <w:rsid w:val="00223828"/>
    <w:rsid w:val="0025457E"/>
    <w:rsid w:val="00274F32"/>
    <w:rsid w:val="00277CBE"/>
    <w:rsid w:val="002D0E7D"/>
    <w:rsid w:val="002E6DBE"/>
    <w:rsid w:val="002F7B93"/>
    <w:rsid w:val="003221C5"/>
    <w:rsid w:val="00325F38"/>
    <w:rsid w:val="00327EBF"/>
    <w:rsid w:val="00331616"/>
    <w:rsid w:val="00350F59"/>
    <w:rsid w:val="00353686"/>
    <w:rsid w:val="003A04EE"/>
    <w:rsid w:val="003C79A4"/>
    <w:rsid w:val="003E5310"/>
    <w:rsid w:val="003F34F0"/>
    <w:rsid w:val="00405FD0"/>
    <w:rsid w:val="00416BB9"/>
    <w:rsid w:val="004A37BB"/>
    <w:rsid w:val="004C2315"/>
    <w:rsid w:val="004D7A34"/>
    <w:rsid w:val="004F19F1"/>
    <w:rsid w:val="00510566"/>
    <w:rsid w:val="005169F4"/>
    <w:rsid w:val="00554259"/>
    <w:rsid w:val="005B5AB5"/>
    <w:rsid w:val="005C4F21"/>
    <w:rsid w:val="005D4B8F"/>
    <w:rsid w:val="005E3AC7"/>
    <w:rsid w:val="006420CB"/>
    <w:rsid w:val="00656A56"/>
    <w:rsid w:val="006A3158"/>
    <w:rsid w:val="006B0821"/>
    <w:rsid w:val="006B0E2B"/>
    <w:rsid w:val="006D0161"/>
    <w:rsid w:val="006D25BE"/>
    <w:rsid w:val="006E5E1D"/>
    <w:rsid w:val="00711EBC"/>
    <w:rsid w:val="007164C6"/>
    <w:rsid w:val="00721A99"/>
    <w:rsid w:val="0073301D"/>
    <w:rsid w:val="00755F94"/>
    <w:rsid w:val="00761DFD"/>
    <w:rsid w:val="00772A59"/>
    <w:rsid w:val="00776CB2"/>
    <w:rsid w:val="00777DA1"/>
    <w:rsid w:val="00794019"/>
    <w:rsid w:val="00796487"/>
    <w:rsid w:val="007C6070"/>
    <w:rsid w:val="007E3478"/>
    <w:rsid w:val="007E73B5"/>
    <w:rsid w:val="007E7CD1"/>
    <w:rsid w:val="008033A9"/>
    <w:rsid w:val="00805835"/>
    <w:rsid w:val="008201EC"/>
    <w:rsid w:val="00827882"/>
    <w:rsid w:val="00842E44"/>
    <w:rsid w:val="00872A4A"/>
    <w:rsid w:val="00896DB4"/>
    <w:rsid w:val="008D2B20"/>
    <w:rsid w:val="00917A46"/>
    <w:rsid w:val="009434A5"/>
    <w:rsid w:val="00950D47"/>
    <w:rsid w:val="0096429F"/>
    <w:rsid w:val="009929D3"/>
    <w:rsid w:val="009C141F"/>
    <w:rsid w:val="009C1E63"/>
    <w:rsid w:val="00A07CD5"/>
    <w:rsid w:val="00A106D2"/>
    <w:rsid w:val="00A43172"/>
    <w:rsid w:val="00A54C9F"/>
    <w:rsid w:val="00A921C7"/>
    <w:rsid w:val="00B14858"/>
    <w:rsid w:val="00B512B1"/>
    <w:rsid w:val="00B54BF7"/>
    <w:rsid w:val="00B62C38"/>
    <w:rsid w:val="00B6572F"/>
    <w:rsid w:val="00B95D4D"/>
    <w:rsid w:val="00BB034C"/>
    <w:rsid w:val="00BB2FCA"/>
    <w:rsid w:val="00BB325F"/>
    <w:rsid w:val="00BB6B2D"/>
    <w:rsid w:val="00BD4680"/>
    <w:rsid w:val="00BE4ABD"/>
    <w:rsid w:val="00BE644F"/>
    <w:rsid w:val="00C70A1D"/>
    <w:rsid w:val="00C93B14"/>
    <w:rsid w:val="00CD744A"/>
    <w:rsid w:val="00CE231F"/>
    <w:rsid w:val="00CF55AA"/>
    <w:rsid w:val="00D12534"/>
    <w:rsid w:val="00D4363A"/>
    <w:rsid w:val="00D4624D"/>
    <w:rsid w:val="00D82901"/>
    <w:rsid w:val="00D94CFB"/>
    <w:rsid w:val="00DB4B22"/>
    <w:rsid w:val="00DD2871"/>
    <w:rsid w:val="00DD4B1C"/>
    <w:rsid w:val="00DF1A9E"/>
    <w:rsid w:val="00E10613"/>
    <w:rsid w:val="00E313C4"/>
    <w:rsid w:val="00E74BC9"/>
    <w:rsid w:val="00E82489"/>
    <w:rsid w:val="00E85652"/>
    <w:rsid w:val="00E9281A"/>
    <w:rsid w:val="00E92D21"/>
    <w:rsid w:val="00E95B84"/>
    <w:rsid w:val="00EF4122"/>
    <w:rsid w:val="00F037FC"/>
    <w:rsid w:val="00F20BA4"/>
    <w:rsid w:val="00F2143C"/>
    <w:rsid w:val="00F52C82"/>
    <w:rsid w:val="00F7747B"/>
    <w:rsid w:val="00FC1D97"/>
    <w:rsid w:val="00FF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794019"/>
    <w:pPr>
      <w:spacing w:line="240" w:lineRule="auto"/>
    </w:pPr>
    <w:rPr>
      <w:b/>
      <w:bCs/>
      <w:color w:val="4F81BD"/>
      <w:sz w:val="18"/>
      <w:szCs w:val="18"/>
    </w:rPr>
  </w:style>
  <w:style w:type="paragraph" w:styleId="Header">
    <w:name w:val="header"/>
    <w:basedOn w:val="Normal"/>
    <w:link w:val="HeaderChar"/>
    <w:uiPriority w:val="99"/>
    <w:unhideWhenUsed/>
    <w:rsid w:val="00254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57E"/>
    <w:rPr>
      <w:rFonts w:ascii="Calibri" w:eastAsia="Times New Roman" w:hAnsi="Calibri" w:cs="Times New Roman"/>
    </w:rPr>
  </w:style>
  <w:style w:type="paragraph" w:styleId="Footer">
    <w:name w:val="footer"/>
    <w:basedOn w:val="Normal"/>
    <w:link w:val="FooterChar"/>
    <w:uiPriority w:val="99"/>
    <w:unhideWhenUsed/>
    <w:rsid w:val="00254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57E"/>
    <w:rPr>
      <w:rFonts w:ascii="Calibri" w:eastAsia="Times New Roman" w:hAnsi="Calibri" w:cs="Times New Roman"/>
    </w:rPr>
  </w:style>
  <w:style w:type="paragraph" w:styleId="BalloonText">
    <w:name w:val="Balloon Text"/>
    <w:basedOn w:val="Normal"/>
    <w:link w:val="BalloonTextChar"/>
    <w:uiPriority w:val="99"/>
    <w:semiHidden/>
    <w:unhideWhenUsed/>
    <w:rsid w:val="00254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57E"/>
    <w:rPr>
      <w:rFonts w:ascii="Tahoma" w:eastAsia="Times New Roman" w:hAnsi="Tahoma" w:cs="Tahoma"/>
      <w:sz w:val="16"/>
      <w:szCs w:val="16"/>
    </w:rPr>
  </w:style>
  <w:style w:type="paragraph" w:styleId="ListParagraph">
    <w:name w:val="List Paragraph"/>
    <w:basedOn w:val="Normal"/>
    <w:uiPriority w:val="34"/>
    <w:qFormat/>
    <w:rsid w:val="002156AD"/>
    <w:pPr>
      <w:ind w:left="720"/>
      <w:contextualSpacing/>
    </w:pPr>
  </w:style>
  <w:style w:type="paragraph" w:styleId="FootnoteText">
    <w:name w:val="footnote text"/>
    <w:basedOn w:val="Normal"/>
    <w:link w:val="FootnoteTextChar"/>
    <w:uiPriority w:val="99"/>
    <w:semiHidden/>
    <w:unhideWhenUsed/>
    <w:rsid w:val="007964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6487"/>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796487"/>
    <w:rPr>
      <w:vertAlign w:val="superscript"/>
    </w:rPr>
  </w:style>
  <w:style w:type="paragraph" w:styleId="EndnoteText">
    <w:name w:val="endnote text"/>
    <w:basedOn w:val="Normal"/>
    <w:link w:val="EndnoteTextChar"/>
    <w:uiPriority w:val="99"/>
    <w:semiHidden/>
    <w:unhideWhenUsed/>
    <w:rsid w:val="00E8248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2489"/>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E82489"/>
    <w:rPr>
      <w:vertAlign w:val="superscript"/>
    </w:rPr>
  </w:style>
  <w:style w:type="character" w:styleId="Hyperlink">
    <w:name w:val="Hyperlink"/>
    <w:basedOn w:val="DefaultParagraphFont"/>
    <w:uiPriority w:val="99"/>
    <w:unhideWhenUsed/>
    <w:rsid w:val="001D0C47"/>
    <w:rPr>
      <w:color w:val="0000FF" w:themeColor="hyperlink"/>
      <w:u w:val="single"/>
    </w:rPr>
  </w:style>
  <w:style w:type="paragraph" w:styleId="NoSpacing">
    <w:name w:val="No Spacing"/>
    <w:uiPriority w:val="1"/>
    <w:qFormat/>
    <w:rsid w:val="00F7747B"/>
    <w:pPr>
      <w:spacing w:after="0" w:line="240" w:lineRule="auto"/>
    </w:pPr>
    <w:rPr>
      <w:rFonts w:ascii="Calibri" w:eastAsia="Times New Roman" w:hAnsi="Calibri" w:cs="Times New Roman"/>
    </w:rPr>
  </w:style>
  <w:style w:type="table" w:styleId="TableGrid">
    <w:name w:val="Table Grid"/>
    <w:basedOn w:val="TableNormal"/>
    <w:uiPriority w:val="59"/>
    <w:rsid w:val="007E7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0600">
      <w:bodyDiv w:val="1"/>
      <w:marLeft w:val="0"/>
      <w:marRight w:val="0"/>
      <w:marTop w:val="0"/>
      <w:marBottom w:val="0"/>
      <w:divBdr>
        <w:top w:val="none" w:sz="0" w:space="0" w:color="auto"/>
        <w:left w:val="none" w:sz="0" w:space="0" w:color="auto"/>
        <w:bottom w:val="none" w:sz="0" w:space="0" w:color="auto"/>
        <w:right w:val="none" w:sz="0" w:space="0" w:color="auto"/>
      </w:divBdr>
    </w:div>
    <w:div w:id="99224206">
      <w:bodyDiv w:val="1"/>
      <w:marLeft w:val="0"/>
      <w:marRight w:val="0"/>
      <w:marTop w:val="0"/>
      <w:marBottom w:val="0"/>
      <w:divBdr>
        <w:top w:val="none" w:sz="0" w:space="0" w:color="auto"/>
        <w:left w:val="none" w:sz="0" w:space="0" w:color="auto"/>
        <w:bottom w:val="none" w:sz="0" w:space="0" w:color="auto"/>
        <w:right w:val="none" w:sz="0" w:space="0" w:color="auto"/>
      </w:divBdr>
    </w:div>
    <w:div w:id="112947143">
      <w:bodyDiv w:val="1"/>
      <w:marLeft w:val="0"/>
      <w:marRight w:val="0"/>
      <w:marTop w:val="0"/>
      <w:marBottom w:val="0"/>
      <w:divBdr>
        <w:top w:val="none" w:sz="0" w:space="0" w:color="auto"/>
        <w:left w:val="none" w:sz="0" w:space="0" w:color="auto"/>
        <w:bottom w:val="none" w:sz="0" w:space="0" w:color="auto"/>
        <w:right w:val="none" w:sz="0" w:space="0" w:color="auto"/>
      </w:divBdr>
    </w:div>
    <w:div w:id="137185733">
      <w:bodyDiv w:val="1"/>
      <w:marLeft w:val="0"/>
      <w:marRight w:val="0"/>
      <w:marTop w:val="0"/>
      <w:marBottom w:val="0"/>
      <w:divBdr>
        <w:top w:val="none" w:sz="0" w:space="0" w:color="auto"/>
        <w:left w:val="none" w:sz="0" w:space="0" w:color="auto"/>
        <w:bottom w:val="none" w:sz="0" w:space="0" w:color="auto"/>
        <w:right w:val="none" w:sz="0" w:space="0" w:color="auto"/>
      </w:divBdr>
    </w:div>
    <w:div w:id="203639795">
      <w:bodyDiv w:val="1"/>
      <w:marLeft w:val="0"/>
      <w:marRight w:val="0"/>
      <w:marTop w:val="0"/>
      <w:marBottom w:val="0"/>
      <w:divBdr>
        <w:top w:val="none" w:sz="0" w:space="0" w:color="auto"/>
        <w:left w:val="none" w:sz="0" w:space="0" w:color="auto"/>
        <w:bottom w:val="none" w:sz="0" w:space="0" w:color="auto"/>
        <w:right w:val="none" w:sz="0" w:space="0" w:color="auto"/>
      </w:divBdr>
    </w:div>
    <w:div w:id="208805889">
      <w:bodyDiv w:val="1"/>
      <w:marLeft w:val="0"/>
      <w:marRight w:val="0"/>
      <w:marTop w:val="0"/>
      <w:marBottom w:val="0"/>
      <w:divBdr>
        <w:top w:val="none" w:sz="0" w:space="0" w:color="auto"/>
        <w:left w:val="none" w:sz="0" w:space="0" w:color="auto"/>
        <w:bottom w:val="none" w:sz="0" w:space="0" w:color="auto"/>
        <w:right w:val="none" w:sz="0" w:space="0" w:color="auto"/>
      </w:divBdr>
    </w:div>
    <w:div w:id="209734669">
      <w:bodyDiv w:val="1"/>
      <w:marLeft w:val="0"/>
      <w:marRight w:val="0"/>
      <w:marTop w:val="0"/>
      <w:marBottom w:val="0"/>
      <w:divBdr>
        <w:top w:val="none" w:sz="0" w:space="0" w:color="auto"/>
        <w:left w:val="none" w:sz="0" w:space="0" w:color="auto"/>
        <w:bottom w:val="none" w:sz="0" w:space="0" w:color="auto"/>
        <w:right w:val="none" w:sz="0" w:space="0" w:color="auto"/>
      </w:divBdr>
    </w:div>
    <w:div w:id="229270069">
      <w:bodyDiv w:val="1"/>
      <w:marLeft w:val="0"/>
      <w:marRight w:val="0"/>
      <w:marTop w:val="0"/>
      <w:marBottom w:val="0"/>
      <w:divBdr>
        <w:top w:val="none" w:sz="0" w:space="0" w:color="auto"/>
        <w:left w:val="none" w:sz="0" w:space="0" w:color="auto"/>
        <w:bottom w:val="none" w:sz="0" w:space="0" w:color="auto"/>
        <w:right w:val="none" w:sz="0" w:space="0" w:color="auto"/>
      </w:divBdr>
    </w:div>
    <w:div w:id="232861700">
      <w:bodyDiv w:val="1"/>
      <w:marLeft w:val="0"/>
      <w:marRight w:val="0"/>
      <w:marTop w:val="0"/>
      <w:marBottom w:val="0"/>
      <w:divBdr>
        <w:top w:val="none" w:sz="0" w:space="0" w:color="auto"/>
        <w:left w:val="none" w:sz="0" w:space="0" w:color="auto"/>
        <w:bottom w:val="none" w:sz="0" w:space="0" w:color="auto"/>
        <w:right w:val="none" w:sz="0" w:space="0" w:color="auto"/>
      </w:divBdr>
    </w:div>
    <w:div w:id="234365179">
      <w:bodyDiv w:val="1"/>
      <w:marLeft w:val="0"/>
      <w:marRight w:val="0"/>
      <w:marTop w:val="0"/>
      <w:marBottom w:val="0"/>
      <w:divBdr>
        <w:top w:val="none" w:sz="0" w:space="0" w:color="auto"/>
        <w:left w:val="none" w:sz="0" w:space="0" w:color="auto"/>
        <w:bottom w:val="none" w:sz="0" w:space="0" w:color="auto"/>
        <w:right w:val="none" w:sz="0" w:space="0" w:color="auto"/>
      </w:divBdr>
    </w:div>
    <w:div w:id="322124818">
      <w:bodyDiv w:val="1"/>
      <w:marLeft w:val="0"/>
      <w:marRight w:val="0"/>
      <w:marTop w:val="0"/>
      <w:marBottom w:val="0"/>
      <w:divBdr>
        <w:top w:val="none" w:sz="0" w:space="0" w:color="auto"/>
        <w:left w:val="none" w:sz="0" w:space="0" w:color="auto"/>
        <w:bottom w:val="none" w:sz="0" w:space="0" w:color="auto"/>
        <w:right w:val="none" w:sz="0" w:space="0" w:color="auto"/>
      </w:divBdr>
    </w:div>
    <w:div w:id="346445454">
      <w:bodyDiv w:val="1"/>
      <w:marLeft w:val="0"/>
      <w:marRight w:val="0"/>
      <w:marTop w:val="0"/>
      <w:marBottom w:val="0"/>
      <w:divBdr>
        <w:top w:val="none" w:sz="0" w:space="0" w:color="auto"/>
        <w:left w:val="none" w:sz="0" w:space="0" w:color="auto"/>
        <w:bottom w:val="none" w:sz="0" w:space="0" w:color="auto"/>
        <w:right w:val="none" w:sz="0" w:space="0" w:color="auto"/>
      </w:divBdr>
    </w:div>
    <w:div w:id="349378683">
      <w:bodyDiv w:val="1"/>
      <w:marLeft w:val="0"/>
      <w:marRight w:val="0"/>
      <w:marTop w:val="0"/>
      <w:marBottom w:val="0"/>
      <w:divBdr>
        <w:top w:val="none" w:sz="0" w:space="0" w:color="auto"/>
        <w:left w:val="none" w:sz="0" w:space="0" w:color="auto"/>
        <w:bottom w:val="none" w:sz="0" w:space="0" w:color="auto"/>
        <w:right w:val="none" w:sz="0" w:space="0" w:color="auto"/>
      </w:divBdr>
    </w:div>
    <w:div w:id="357437516">
      <w:bodyDiv w:val="1"/>
      <w:marLeft w:val="0"/>
      <w:marRight w:val="0"/>
      <w:marTop w:val="0"/>
      <w:marBottom w:val="0"/>
      <w:divBdr>
        <w:top w:val="none" w:sz="0" w:space="0" w:color="auto"/>
        <w:left w:val="none" w:sz="0" w:space="0" w:color="auto"/>
        <w:bottom w:val="none" w:sz="0" w:space="0" w:color="auto"/>
        <w:right w:val="none" w:sz="0" w:space="0" w:color="auto"/>
      </w:divBdr>
    </w:div>
    <w:div w:id="398405581">
      <w:bodyDiv w:val="1"/>
      <w:marLeft w:val="0"/>
      <w:marRight w:val="0"/>
      <w:marTop w:val="0"/>
      <w:marBottom w:val="0"/>
      <w:divBdr>
        <w:top w:val="none" w:sz="0" w:space="0" w:color="auto"/>
        <w:left w:val="none" w:sz="0" w:space="0" w:color="auto"/>
        <w:bottom w:val="none" w:sz="0" w:space="0" w:color="auto"/>
        <w:right w:val="none" w:sz="0" w:space="0" w:color="auto"/>
      </w:divBdr>
    </w:div>
    <w:div w:id="487986284">
      <w:bodyDiv w:val="1"/>
      <w:marLeft w:val="0"/>
      <w:marRight w:val="0"/>
      <w:marTop w:val="0"/>
      <w:marBottom w:val="0"/>
      <w:divBdr>
        <w:top w:val="none" w:sz="0" w:space="0" w:color="auto"/>
        <w:left w:val="none" w:sz="0" w:space="0" w:color="auto"/>
        <w:bottom w:val="none" w:sz="0" w:space="0" w:color="auto"/>
        <w:right w:val="none" w:sz="0" w:space="0" w:color="auto"/>
      </w:divBdr>
    </w:div>
    <w:div w:id="494616779">
      <w:bodyDiv w:val="1"/>
      <w:marLeft w:val="0"/>
      <w:marRight w:val="0"/>
      <w:marTop w:val="0"/>
      <w:marBottom w:val="0"/>
      <w:divBdr>
        <w:top w:val="none" w:sz="0" w:space="0" w:color="auto"/>
        <w:left w:val="none" w:sz="0" w:space="0" w:color="auto"/>
        <w:bottom w:val="none" w:sz="0" w:space="0" w:color="auto"/>
        <w:right w:val="none" w:sz="0" w:space="0" w:color="auto"/>
      </w:divBdr>
    </w:div>
    <w:div w:id="537283301">
      <w:bodyDiv w:val="1"/>
      <w:marLeft w:val="0"/>
      <w:marRight w:val="0"/>
      <w:marTop w:val="0"/>
      <w:marBottom w:val="0"/>
      <w:divBdr>
        <w:top w:val="none" w:sz="0" w:space="0" w:color="auto"/>
        <w:left w:val="none" w:sz="0" w:space="0" w:color="auto"/>
        <w:bottom w:val="none" w:sz="0" w:space="0" w:color="auto"/>
        <w:right w:val="none" w:sz="0" w:space="0" w:color="auto"/>
      </w:divBdr>
    </w:div>
    <w:div w:id="550729643">
      <w:bodyDiv w:val="1"/>
      <w:marLeft w:val="0"/>
      <w:marRight w:val="0"/>
      <w:marTop w:val="0"/>
      <w:marBottom w:val="0"/>
      <w:divBdr>
        <w:top w:val="none" w:sz="0" w:space="0" w:color="auto"/>
        <w:left w:val="none" w:sz="0" w:space="0" w:color="auto"/>
        <w:bottom w:val="none" w:sz="0" w:space="0" w:color="auto"/>
        <w:right w:val="none" w:sz="0" w:space="0" w:color="auto"/>
      </w:divBdr>
    </w:div>
    <w:div w:id="612135471">
      <w:bodyDiv w:val="1"/>
      <w:marLeft w:val="0"/>
      <w:marRight w:val="0"/>
      <w:marTop w:val="0"/>
      <w:marBottom w:val="0"/>
      <w:divBdr>
        <w:top w:val="none" w:sz="0" w:space="0" w:color="auto"/>
        <w:left w:val="none" w:sz="0" w:space="0" w:color="auto"/>
        <w:bottom w:val="none" w:sz="0" w:space="0" w:color="auto"/>
        <w:right w:val="none" w:sz="0" w:space="0" w:color="auto"/>
      </w:divBdr>
    </w:div>
    <w:div w:id="652489062">
      <w:bodyDiv w:val="1"/>
      <w:marLeft w:val="0"/>
      <w:marRight w:val="0"/>
      <w:marTop w:val="0"/>
      <w:marBottom w:val="0"/>
      <w:divBdr>
        <w:top w:val="none" w:sz="0" w:space="0" w:color="auto"/>
        <w:left w:val="none" w:sz="0" w:space="0" w:color="auto"/>
        <w:bottom w:val="none" w:sz="0" w:space="0" w:color="auto"/>
        <w:right w:val="none" w:sz="0" w:space="0" w:color="auto"/>
      </w:divBdr>
    </w:div>
    <w:div w:id="653919378">
      <w:bodyDiv w:val="1"/>
      <w:marLeft w:val="0"/>
      <w:marRight w:val="0"/>
      <w:marTop w:val="0"/>
      <w:marBottom w:val="0"/>
      <w:divBdr>
        <w:top w:val="none" w:sz="0" w:space="0" w:color="auto"/>
        <w:left w:val="none" w:sz="0" w:space="0" w:color="auto"/>
        <w:bottom w:val="none" w:sz="0" w:space="0" w:color="auto"/>
        <w:right w:val="none" w:sz="0" w:space="0" w:color="auto"/>
      </w:divBdr>
    </w:div>
    <w:div w:id="735126355">
      <w:bodyDiv w:val="1"/>
      <w:marLeft w:val="0"/>
      <w:marRight w:val="0"/>
      <w:marTop w:val="0"/>
      <w:marBottom w:val="0"/>
      <w:divBdr>
        <w:top w:val="none" w:sz="0" w:space="0" w:color="auto"/>
        <w:left w:val="none" w:sz="0" w:space="0" w:color="auto"/>
        <w:bottom w:val="none" w:sz="0" w:space="0" w:color="auto"/>
        <w:right w:val="none" w:sz="0" w:space="0" w:color="auto"/>
      </w:divBdr>
    </w:div>
    <w:div w:id="750272075">
      <w:bodyDiv w:val="1"/>
      <w:marLeft w:val="0"/>
      <w:marRight w:val="0"/>
      <w:marTop w:val="0"/>
      <w:marBottom w:val="0"/>
      <w:divBdr>
        <w:top w:val="none" w:sz="0" w:space="0" w:color="auto"/>
        <w:left w:val="none" w:sz="0" w:space="0" w:color="auto"/>
        <w:bottom w:val="none" w:sz="0" w:space="0" w:color="auto"/>
        <w:right w:val="none" w:sz="0" w:space="0" w:color="auto"/>
      </w:divBdr>
    </w:div>
    <w:div w:id="840773728">
      <w:bodyDiv w:val="1"/>
      <w:marLeft w:val="0"/>
      <w:marRight w:val="0"/>
      <w:marTop w:val="0"/>
      <w:marBottom w:val="0"/>
      <w:divBdr>
        <w:top w:val="none" w:sz="0" w:space="0" w:color="auto"/>
        <w:left w:val="none" w:sz="0" w:space="0" w:color="auto"/>
        <w:bottom w:val="none" w:sz="0" w:space="0" w:color="auto"/>
        <w:right w:val="none" w:sz="0" w:space="0" w:color="auto"/>
      </w:divBdr>
    </w:div>
    <w:div w:id="891959958">
      <w:bodyDiv w:val="1"/>
      <w:marLeft w:val="0"/>
      <w:marRight w:val="0"/>
      <w:marTop w:val="0"/>
      <w:marBottom w:val="0"/>
      <w:divBdr>
        <w:top w:val="none" w:sz="0" w:space="0" w:color="auto"/>
        <w:left w:val="none" w:sz="0" w:space="0" w:color="auto"/>
        <w:bottom w:val="none" w:sz="0" w:space="0" w:color="auto"/>
        <w:right w:val="none" w:sz="0" w:space="0" w:color="auto"/>
      </w:divBdr>
    </w:div>
    <w:div w:id="1003513602">
      <w:bodyDiv w:val="1"/>
      <w:marLeft w:val="0"/>
      <w:marRight w:val="0"/>
      <w:marTop w:val="0"/>
      <w:marBottom w:val="0"/>
      <w:divBdr>
        <w:top w:val="none" w:sz="0" w:space="0" w:color="auto"/>
        <w:left w:val="none" w:sz="0" w:space="0" w:color="auto"/>
        <w:bottom w:val="none" w:sz="0" w:space="0" w:color="auto"/>
        <w:right w:val="none" w:sz="0" w:space="0" w:color="auto"/>
      </w:divBdr>
    </w:div>
    <w:div w:id="1037125044">
      <w:bodyDiv w:val="1"/>
      <w:marLeft w:val="0"/>
      <w:marRight w:val="0"/>
      <w:marTop w:val="0"/>
      <w:marBottom w:val="0"/>
      <w:divBdr>
        <w:top w:val="none" w:sz="0" w:space="0" w:color="auto"/>
        <w:left w:val="none" w:sz="0" w:space="0" w:color="auto"/>
        <w:bottom w:val="none" w:sz="0" w:space="0" w:color="auto"/>
        <w:right w:val="none" w:sz="0" w:space="0" w:color="auto"/>
      </w:divBdr>
    </w:div>
    <w:div w:id="1122387135">
      <w:bodyDiv w:val="1"/>
      <w:marLeft w:val="0"/>
      <w:marRight w:val="0"/>
      <w:marTop w:val="0"/>
      <w:marBottom w:val="0"/>
      <w:divBdr>
        <w:top w:val="none" w:sz="0" w:space="0" w:color="auto"/>
        <w:left w:val="none" w:sz="0" w:space="0" w:color="auto"/>
        <w:bottom w:val="none" w:sz="0" w:space="0" w:color="auto"/>
        <w:right w:val="none" w:sz="0" w:space="0" w:color="auto"/>
      </w:divBdr>
    </w:div>
    <w:div w:id="1153571674">
      <w:bodyDiv w:val="1"/>
      <w:marLeft w:val="0"/>
      <w:marRight w:val="0"/>
      <w:marTop w:val="0"/>
      <w:marBottom w:val="0"/>
      <w:divBdr>
        <w:top w:val="none" w:sz="0" w:space="0" w:color="auto"/>
        <w:left w:val="none" w:sz="0" w:space="0" w:color="auto"/>
        <w:bottom w:val="none" w:sz="0" w:space="0" w:color="auto"/>
        <w:right w:val="none" w:sz="0" w:space="0" w:color="auto"/>
      </w:divBdr>
    </w:div>
    <w:div w:id="1160805314">
      <w:bodyDiv w:val="1"/>
      <w:marLeft w:val="0"/>
      <w:marRight w:val="0"/>
      <w:marTop w:val="0"/>
      <w:marBottom w:val="0"/>
      <w:divBdr>
        <w:top w:val="none" w:sz="0" w:space="0" w:color="auto"/>
        <w:left w:val="none" w:sz="0" w:space="0" w:color="auto"/>
        <w:bottom w:val="none" w:sz="0" w:space="0" w:color="auto"/>
        <w:right w:val="none" w:sz="0" w:space="0" w:color="auto"/>
      </w:divBdr>
    </w:div>
    <w:div w:id="1196042641">
      <w:bodyDiv w:val="1"/>
      <w:marLeft w:val="0"/>
      <w:marRight w:val="0"/>
      <w:marTop w:val="0"/>
      <w:marBottom w:val="0"/>
      <w:divBdr>
        <w:top w:val="none" w:sz="0" w:space="0" w:color="auto"/>
        <w:left w:val="none" w:sz="0" w:space="0" w:color="auto"/>
        <w:bottom w:val="none" w:sz="0" w:space="0" w:color="auto"/>
        <w:right w:val="none" w:sz="0" w:space="0" w:color="auto"/>
      </w:divBdr>
    </w:div>
    <w:div w:id="1251281203">
      <w:bodyDiv w:val="1"/>
      <w:marLeft w:val="0"/>
      <w:marRight w:val="0"/>
      <w:marTop w:val="0"/>
      <w:marBottom w:val="0"/>
      <w:divBdr>
        <w:top w:val="none" w:sz="0" w:space="0" w:color="auto"/>
        <w:left w:val="none" w:sz="0" w:space="0" w:color="auto"/>
        <w:bottom w:val="none" w:sz="0" w:space="0" w:color="auto"/>
        <w:right w:val="none" w:sz="0" w:space="0" w:color="auto"/>
      </w:divBdr>
    </w:div>
    <w:div w:id="1287078922">
      <w:bodyDiv w:val="1"/>
      <w:marLeft w:val="0"/>
      <w:marRight w:val="0"/>
      <w:marTop w:val="0"/>
      <w:marBottom w:val="0"/>
      <w:divBdr>
        <w:top w:val="none" w:sz="0" w:space="0" w:color="auto"/>
        <w:left w:val="none" w:sz="0" w:space="0" w:color="auto"/>
        <w:bottom w:val="none" w:sz="0" w:space="0" w:color="auto"/>
        <w:right w:val="none" w:sz="0" w:space="0" w:color="auto"/>
      </w:divBdr>
    </w:div>
    <w:div w:id="1321230980">
      <w:bodyDiv w:val="1"/>
      <w:marLeft w:val="0"/>
      <w:marRight w:val="0"/>
      <w:marTop w:val="0"/>
      <w:marBottom w:val="0"/>
      <w:divBdr>
        <w:top w:val="none" w:sz="0" w:space="0" w:color="auto"/>
        <w:left w:val="none" w:sz="0" w:space="0" w:color="auto"/>
        <w:bottom w:val="none" w:sz="0" w:space="0" w:color="auto"/>
        <w:right w:val="none" w:sz="0" w:space="0" w:color="auto"/>
      </w:divBdr>
    </w:div>
    <w:div w:id="1322270713">
      <w:bodyDiv w:val="1"/>
      <w:marLeft w:val="0"/>
      <w:marRight w:val="0"/>
      <w:marTop w:val="0"/>
      <w:marBottom w:val="0"/>
      <w:divBdr>
        <w:top w:val="none" w:sz="0" w:space="0" w:color="auto"/>
        <w:left w:val="none" w:sz="0" w:space="0" w:color="auto"/>
        <w:bottom w:val="none" w:sz="0" w:space="0" w:color="auto"/>
        <w:right w:val="none" w:sz="0" w:space="0" w:color="auto"/>
      </w:divBdr>
    </w:div>
    <w:div w:id="1427383535">
      <w:bodyDiv w:val="1"/>
      <w:marLeft w:val="0"/>
      <w:marRight w:val="0"/>
      <w:marTop w:val="0"/>
      <w:marBottom w:val="0"/>
      <w:divBdr>
        <w:top w:val="none" w:sz="0" w:space="0" w:color="auto"/>
        <w:left w:val="none" w:sz="0" w:space="0" w:color="auto"/>
        <w:bottom w:val="none" w:sz="0" w:space="0" w:color="auto"/>
        <w:right w:val="none" w:sz="0" w:space="0" w:color="auto"/>
      </w:divBdr>
    </w:div>
    <w:div w:id="1509707517">
      <w:bodyDiv w:val="1"/>
      <w:marLeft w:val="0"/>
      <w:marRight w:val="0"/>
      <w:marTop w:val="0"/>
      <w:marBottom w:val="0"/>
      <w:divBdr>
        <w:top w:val="none" w:sz="0" w:space="0" w:color="auto"/>
        <w:left w:val="none" w:sz="0" w:space="0" w:color="auto"/>
        <w:bottom w:val="none" w:sz="0" w:space="0" w:color="auto"/>
        <w:right w:val="none" w:sz="0" w:space="0" w:color="auto"/>
      </w:divBdr>
    </w:div>
    <w:div w:id="1525902439">
      <w:bodyDiv w:val="1"/>
      <w:marLeft w:val="0"/>
      <w:marRight w:val="0"/>
      <w:marTop w:val="0"/>
      <w:marBottom w:val="0"/>
      <w:divBdr>
        <w:top w:val="none" w:sz="0" w:space="0" w:color="auto"/>
        <w:left w:val="none" w:sz="0" w:space="0" w:color="auto"/>
        <w:bottom w:val="none" w:sz="0" w:space="0" w:color="auto"/>
        <w:right w:val="none" w:sz="0" w:space="0" w:color="auto"/>
      </w:divBdr>
    </w:div>
    <w:div w:id="1585796406">
      <w:bodyDiv w:val="1"/>
      <w:marLeft w:val="0"/>
      <w:marRight w:val="0"/>
      <w:marTop w:val="0"/>
      <w:marBottom w:val="0"/>
      <w:divBdr>
        <w:top w:val="none" w:sz="0" w:space="0" w:color="auto"/>
        <w:left w:val="none" w:sz="0" w:space="0" w:color="auto"/>
        <w:bottom w:val="none" w:sz="0" w:space="0" w:color="auto"/>
        <w:right w:val="none" w:sz="0" w:space="0" w:color="auto"/>
      </w:divBdr>
    </w:div>
    <w:div w:id="1626695004">
      <w:bodyDiv w:val="1"/>
      <w:marLeft w:val="0"/>
      <w:marRight w:val="0"/>
      <w:marTop w:val="0"/>
      <w:marBottom w:val="0"/>
      <w:divBdr>
        <w:top w:val="none" w:sz="0" w:space="0" w:color="auto"/>
        <w:left w:val="none" w:sz="0" w:space="0" w:color="auto"/>
        <w:bottom w:val="none" w:sz="0" w:space="0" w:color="auto"/>
        <w:right w:val="none" w:sz="0" w:space="0" w:color="auto"/>
      </w:divBdr>
    </w:div>
    <w:div w:id="1705208427">
      <w:bodyDiv w:val="1"/>
      <w:marLeft w:val="0"/>
      <w:marRight w:val="0"/>
      <w:marTop w:val="0"/>
      <w:marBottom w:val="0"/>
      <w:divBdr>
        <w:top w:val="none" w:sz="0" w:space="0" w:color="auto"/>
        <w:left w:val="none" w:sz="0" w:space="0" w:color="auto"/>
        <w:bottom w:val="none" w:sz="0" w:space="0" w:color="auto"/>
        <w:right w:val="none" w:sz="0" w:space="0" w:color="auto"/>
      </w:divBdr>
    </w:div>
    <w:div w:id="1739748801">
      <w:bodyDiv w:val="1"/>
      <w:marLeft w:val="0"/>
      <w:marRight w:val="0"/>
      <w:marTop w:val="0"/>
      <w:marBottom w:val="0"/>
      <w:divBdr>
        <w:top w:val="none" w:sz="0" w:space="0" w:color="auto"/>
        <w:left w:val="none" w:sz="0" w:space="0" w:color="auto"/>
        <w:bottom w:val="none" w:sz="0" w:space="0" w:color="auto"/>
        <w:right w:val="none" w:sz="0" w:space="0" w:color="auto"/>
      </w:divBdr>
    </w:div>
    <w:div w:id="1874265460">
      <w:bodyDiv w:val="1"/>
      <w:marLeft w:val="0"/>
      <w:marRight w:val="0"/>
      <w:marTop w:val="0"/>
      <w:marBottom w:val="0"/>
      <w:divBdr>
        <w:top w:val="none" w:sz="0" w:space="0" w:color="auto"/>
        <w:left w:val="none" w:sz="0" w:space="0" w:color="auto"/>
        <w:bottom w:val="none" w:sz="0" w:space="0" w:color="auto"/>
        <w:right w:val="none" w:sz="0" w:space="0" w:color="auto"/>
      </w:divBdr>
    </w:div>
    <w:div w:id="1878421865">
      <w:bodyDiv w:val="1"/>
      <w:marLeft w:val="0"/>
      <w:marRight w:val="0"/>
      <w:marTop w:val="0"/>
      <w:marBottom w:val="0"/>
      <w:divBdr>
        <w:top w:val="none" w:sz="0" w:space="0" w:color="auto"/>
        <w:left w:val="none" w:sz="0" w:space="0" w:color="auto"/>
        <w:bottom w:val="none" w:sz="0" w:space="0" w:color="auto"/>
        <w:right w:val="none" w:sz="0" w:space="0" w:color="auto"/>
      </w:divBdr>
    </w:div>
    <w:div w:id="1937979067">
      <w:bodyDiv w:val="1"/>
      <w:marLeft w:val="0"/>
      <w:marRight w:val="0"/>
      <w:marTop w:val="0"/>
      <w:marBottom w:val="0"/>
      <w:divBdr>
        <w:top w:val="none" w:sz="0" w:space="0" w:color="auto"/>
        <w:left w:val="none" w:sz="0" w:space="0" w:color="auto"/>
        <w:bottom w:val="none" w:sz="0" w:space="0" w:color="auto"/>
        <w:right w:val="none" w:sz="0" w:space="0" w:color="auto"/>
      </w:divBdr>
    </w:div>
    <w:div w:id="199984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268DA-CD38-4C6B-8BDC-F01F1374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Kevin Madison</cp:lastModifiedBy>
  <cp:revision>2</cp:revision>
  <dcterms:created xsi:type="dcterms:W3CDTF">2013-03-02T00:15:00Z</dcterms:created>
  <dcterms:modified xsi:type="dcterms:W3CDTF">2013-03-02T00:15:00Z</dcterms:modified>
</cp:coreProperties>
</file>