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4019" w:rsidRDefault="00794019" w:rsidP="00794019">
      <w:pPr>
        <w:spacing w:after="0" w:line="240" w:lineRule="auto"/>
        <w:rPr>
          <w:b/>
          <w:sz w:val="24"/>
          <w:szCs w:val="24"/>
        </w:rPr>
      </w:pPr>
      <w:bookmarkStart w:id="0" w:name="_top"/>
      <w:bookmarkEnd w:id="0"/>
      <w:r>
        <w:rPr>
          <w:b/>
          <w:sz w:val="24"/>
          <w:szCs w:val="24"/>
        </w:rPr>
        <w:t>WORKPAPER DISPOSITION FOR</w:t>
      </w:r>
    </w:p>
    <w:p w:rsidR="00794019" w:rsidRDefault="00E01804" w:rsidP="00794019">
      <w:p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Energy Efficient Televisions</w:t>
      </w:r>
    </w:p>
    <w:p w:rsidR="00794019" w:rsidRDefault="00794019" w:rsidP="00794019">
      <w:p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California Public Utilities Commission, Energy Division</w:t>
      </w:r>
    </w:p>
    <w:p w:rsidR="00CE231F" w:rsidRDefault="00EF37E6" w:rsidP="00794019">
      <w:r>
        <w:t>March 1</w:t>
      </w:r>
      <w:bookmarkStart w:id="1" w:name="_GoBack"/>
      <w:bookmarkEnd w:id="1"/>
      <w:r w:rsidR="00CE231F">
        <w:t>, 2013</w:t>
      </w:r>
    </w:p>
    <w:p w:rsidR="00794019" w:rsidRPr="00E534A2" w:rsidRDefault="00794019" w:rsidP="00794019">
      <w:r>
        <w:t xml:space="preserve">Refer to </w:t>
      </w:r>
      <w:r>
        <w:fldChar w:fldCharType="begin"/>
      </w:r>
      <w:r>
        <w:instrText xml:space="preserve"> REF _Ref324175084 \h </w:instrText>
      </w:r>
      <w:r>
        <w:fldChar w:fldCharType="separate"/>
      </w:r>
      <w:r w:rsidRPr="00E534A2">
        <w:t xml:space="preserve">Table </w:t>
      </w:r>
      <w:r>
        <w:rPr>
          <w:noProof/>
        </w:rPr>
        <w:t>1</w:t>
      </w:r>
      <w:r>
        <w:fldChar w:fldCharType="end"/>
      </w:r>
      <w:r>
        <w:t xml:space="preserve"> for a list of currently submitted IOU workpapers </w:t>
      </w:r>
      <w:r w:rsidR="00FF188F">
        <w:t xml:space="preserve">that cover </w:t>
      </w:r>
      <w:r w:rsidR="0073301D">
        <w:t>refrigerator recycling</w:t>
      </w:r>
      <w:r>
        <w:t>.</w:t>
      </w:r>
    </w:p>
    <w:p w:rsidR="00794019" w:rsidRPr="00E534A2" w:rsidRDefault="00794019" w:rsidP="00794019">
      <w:pPr>
        <w:pStyle w:val="Caption"/>
        <w:keepNext/>
        <w:rPr>
          <w:sz w:val="22"/>
          <w:szCs w:val="22"/>
        </w:rPr>
      </w:pPr>
      <w:bookmarkStart w:id="2" w:name="_Ref324175084"/>
      <w:r w:rsidRPr="00E534A2">
        <w:rPr>
          <w:sz w:val="22"/>
          <w:szCs w:val="22"/>
        </w:rPr>
        <w:t xml:space="preserve">Table </w:t>
      </w:r>
      <w:r>
        <w:rPr>
          <w:sz w:val="22"/>
          <w:szCs w:val="22"/>
        </w:rPr>
        <w:fldChar w:fldCharType="begin"/>
      </w:r>
      <w:r>
        <w:rPr>
          <w:sz w:val="22"/>
          <w:szCs w:val="22"/>
        </w:rPr>
        <w:instrText xml:space="preserve"> SEQ Table \* ARABIC </w:instrText>
      </w:r>
      <w:r>
        <w:rPr>
          <w:sz w:val="22"/>
          <w:szCs w:val="22"/>
        </w:rPr>
        <w:fldChar w:fldCharType="separate"/>
      </w:r>
      <w:r w:rsidR="002C5524">
        <w:rPr>
          <w:noProof/>
          <w:sz w:val="22"/>
          <w:szCs w:val="22"/>
        </w:rPr>
        <w:t>1</w:t>
      </w:r>
      <w:r>
        <w:rPr>
          <w:sz w:val="22"/>
          <w:szCs w:val="22"/>
        </w:rPr>
        <w:fldChar w:fldCharType="end"/>
      </w:r>
      <w:bookmarkEnd w:id="2"/>
      <w:r w:rsidR="00B512B1">
        <w:rPr>
          <w:sz w:val="22"/>
          <w:szCs w:val="22"/>
        </w:rPr>
        <w:t xml:space="preserve"> – </w:t>
      </w:r>
      <w:r w:rsidR="00137918">
        <w:rPr>
          <w:sz w:val="22"/>
          <w:szCs w:val="22"/>
        </w:rPr>
        <w:t>Television</w:t>
      </w:r>
    </w:p>
    <w:tbl>
      <w:tblPr>
        <w:tblW w:w="9285" w:type="dxa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56"/>
        <w:gridCol w:w="5265"/>
        <w:gridCol w:w="1764"/>
      </w:tblGrid>
      <w:tr w:rsidR="00794019" w:rsidRPr="008E6B1C" w:rsidTr="0025457E">
        <w:trPr>
          <w:trHeight w:val="287"/>
        </w:trPr>
        <w:tc>
          <w:tcPr>
            <w:tcW w:w="2256" w:type="dxa"/>
          </w:tcPr>
          <w:p w:rsidR="00794019" w:rsidRPr="008E6B1C" w:rsidRDefault="00794019" w:rsidP="001E7828">
            <w:pPr>
              <w:keepNext/>
              <w:spacing w:after="0" w:line="240" w:lineRule="auto"/>
              <w:rPr>
                <w:b/>
              </w:rPr>
            </w:pPr>
            <w:r w:rsidRPr="008E6B1C">
              <w:rPr>
                <w:b/>
              </w:rPr>
              <w:t>Workpaper ID</w:t>
            </w:r>
          </w:p>
        </w:tc>
        <w:tc>
          <w:tcPr>
            <w:tcW w:w="5265" w:type="dxa"/>
          </w:tcPr>
          <w:p w:rsidR="00794019" w:rsidRPr="008E6B1C" w:rsidRDefault="00794019" w:rsidP="001E7828">
            <w:pPr>
              <w:keepNext/>
              <w:spacing w:after="0" w:line="240" w:lineRule="auto"/>
              <w:rPr>
                <w:b/>
              </w:rPr>
            </w:pPr>
            <w:r w:rsidRPr="008E6B1C">
              <w:rPr>
                <w:b/>
              </w:rPr>
              <w:t>Workpaper Title</w:t>
            </w:r>
          </w:p>
        </w:tc>
        <w:tc>
          <w:tcPr>
            <w:tcW w:w="1764" w:type="dxa"/>
          </w:tcPr>
          <w:p w:rsidR="00794019" w:rsidRPr="008E6B1C" w:rsidRDefault="00B512B1" w:rsidP="001E7828">
            <w:pPr>
              <w:keepNext/>
              <w:spacing w:after="0" w:line="240" w:lineRule="auto"/>
              <w:rPr>
                <w:b/>
              </w:rPr>
            </w:pPr>
            <w:r>
              <w:rPr>
                <w:b/>
              </w:rPr>
              <w:t>Date</w:t>
            </w:r>
          </w:p>
        </w:tc>
      </w:tr>
      <w:tr w:rsidR="00137918" w:rsidRPr="008E6B1C" w:rsidTr="008F167B">
        <w:trPr>
          <w:trHeight w:val="276"/>
        </w:trPr>
        <w:tc>
          <w:tcPr>
            <w:tcW w:w="2256" w:type="dxa"/>
            <w:tcBorders>
              <w:right w:val="nil"/>
            </w:tcBorders>
            <w:shd w:val="clear" w:color="auto" w:fill="BFBFBF"/>
          </w:tcPr>
          <w:p w:rsidR="00137918" w:rsidRPr="008E6B1C" w:rsidRDefault="00137918" w:rsidP="008F167B">
            <w:pPr>
              <w:keepNext/>
              <w:spacing w:after="0" w:line="240" w:lineRule="auto"/>
              <w:rPr>
                <w:b/>
              </w:rPr>
            </w:pPr>
            <w:r>
              <w:rPr>
                <w:b/>
              </w:rPr>
              <w:t>SDG&amp;E</w:t>
            </w:r>
          </w:p>
        </w:tc>
        <w:tc>
          <w:tcPr>
            <w:tcW w:w="5265" w:type="dxa"/>
            <w:tcBorders>
              <w:left w:val="nil"/>
              <w:right w:val="nil"/>
            </w:tcBorders>
            <w:shd w:val="clear" w:color="auto" w:fill="BFBFBF"/>
          </w:tcPr>
          <w:p w:rsidR="00137918" w:rsidRPr="008E6B1C" w:rsidRDefault="00137918" w:rsidP="008F167B">
            <w:pPr>
              <w:keepNext/>
              <w:spacing w:after="0" w:line="240" w:lineRule="auto"/>
            </w:pPr>
          </w:p>
        </w:tc>
        <w:tc>
          <w:tcPr>
            <w:tcW w:w="1764" w:type="dxa"/>
            <w:tcBorders>
              <w:left w:val="nil"/>
            </w:tcBorders>
            <w:shd w:val="clear" w:color="auto" w:fill="BFBFBF"/>
          </w:tcPr>
          <w:p w:rsidR="00137918" w:rsidRPr="008E6B1C" w:rsidRDefault="00137918" w:rsidP="008F167B">
            <w:pPr>
              <w:keepNext/>
              <w:spacing w:after="0" w:line="240" w:lineRule="auto"/>
            </w:pPr>
          </w:p>
        </w:tc>
      </w:tr>
      <w:tr w:rsidR="00137918" w:rsidRPr="008E6B1C" w:rsidTr="008F167B">
        <w:trPr>
          <w:trHeight w:val="276"/>
        </w:trPr>
        <w:tc>
          <w:tcPr>
            <w:tcW w:w="2256" w:type="dxa"/>
          </w:tcPr>
          <w:p w:rsidR="00137918" w:rsidRPr="008E6B1C" w:rsidRDefault="006E2AD5" w:rsidP="008F167B">
            <w:pPr>
              <w:keepNext/>
              <w:spacing w:after="0" w:line="240" w:lineRule="auto"/>
            </w:pPr>
            <w:r w:rsidRPr="006E2AD5">
              <w:t>WPSDGEREHE0001</w:t>
            </w:r>
          </w:p>
        </w:tc>
        <w:tc>
          <w:tcPr>
            <w:tcW w:w="5265" w:type="dxa"/>
          </w:tcPr>
          <w:p w:rsidR="00137918" w:rsidRPr="008E6B1C" w:rsidRDefault="006E2AD5" w:rsidP="008F167B">
            <w:pPr>
              <w:keepNext/>
              <w:spacing w:after="0" w:line="240" w:lineRule="auto"/>
            </w:pPr>
            <w:r w:rsidRPr="006E2AD5">
              <w:t>Energy Efficient Televisions</w:t>
            </w:r>
          </w:p>
        </w:tc>
        <w:tc>
          <w:tcPr>
            <w:tcW w:w="1764" w:type="dxa"/>
          </w:tcPr>
          <w:p w:rsidR="00137918" w:rsidRPr="008E6B1C" w:rsidRDefault="006E2AD5" w:rsidP="008F167B">
            <w:pPr>
              <w:keepNext/>
              <w:spacing w:after="0" w:line="240" w:lineRule="auto"/>
              <w:jc w:val="right"/>
            </w:pPr>
            <w:r>
              <w:t>6/14</w:t>
            </w:r>
            <w:r w:rsidR="00137918">
              <w:t>/2012</w:t>
            </w:r>
          </w:p>
        </w:tc>
      </w:tr>
      <w:tr w:rsidR="00081C45" w:rsidRPr="008E6B1C" w:rsidTr="0025457E">
        <w:trPr>
          <w:trHeight w:val="276"/>
        </w:trPr>
        <w:tc>
          <w:tcPr>
            <w:tcW w:w="2256" w:type="dxa"/>
            <w:tcBorders>
              <w:right w:val="nil"/>
            </w:tcBorders>
            <w:shd w:val="clear" w:color="auto" w:fill="BFBFBF"/>
          </w:tcPr>
          <w:p w:rsidR="00081C45" w:rsidRPr="008E6B1C" w:rsidRDefault="00081C45" w:rsidP="001E7828">
            <w:pPr>
              <w:keepNext/>
              <w:spacing w:after="0" w:line="240" w:lineRule="auto"/>
              <w:rPr>
                <w:b/>
              </w:rPr>
            </w:pPr>
            <w:r w:rsidRPr="008E6B1C">
              <w:rPr>
                <w:b/>
              </w:rPr>
              <w:t>SCE</w:t>
            </w:r>
          </w:p>
        </w:tc>
        <w:tc>
          <w:tcPr>
            <w:tcW w:w="5265" w:type="dxa"/>
            <w:tcBorders>
              <w:left w:val="nil"/>
              <w:right w:val="nil"/>
            </w:tcBorders>
            <w:shd w:val="clear" w:color="auto" w:fill="BFBFBF"/>
          </w:tcPr>
          <w:p w:rsidR="00081C45" w:rsidRPr="008E6B1C" w:rsidRDefault="00081C45" w:rsidP="001E7828">
            <w:pPr>
              <w:keepNext/>
              <w:spacing w:after="0" w:line="240" w:lineRule="auto"/>
            </w:pPr>
          </w:p>
        </w:tc>
        <w:tc>
          <w:tcPr>
            <w:tcW w:w="1764" w:type="dxa"/>
            <w:tcBorders>
              <w:left w:val="nil"/>
            </w:tcBorders>
            <w:shd w:val="clear" w:color="auto" w:fill="BFBFBF"/>
          </w:tcPr>
          <w:p w:rsidR="00081C45" w:rsidRPr="008E6B1C" w:rsidRDefault="00081C45" w:rsidP="001E7828">
            <w:pPr>
              <w:keepNext/>
              <w:spacing w:after="0" w:line="240" w:lineRule="auto"/>
            </w:pPr>
          </w:p>
        </w:tc>
      </w:tr>
      <w:tr w:rsidR="00081C45" w:rsidRPr="008E6B1C" w:rsidTr="0025457E">
        <w:trPr>
          <w:trHeight w:val="276"/>
        </w:trPr>
        <w:tc>
          <w:tcPr>
            <w:tcW w:w="2256" w:type="dxa"/>
          </w:tcPr>
          <w:p w:rsidR="00081C45" w:rsidRPr="008E6B1C" w:rsidRDefault="006E2AD5" w:rsidP="001E7828">
            <w:pPr>
              <w:keepNext/>
              <w:spacing w:after="0" w:line="240" w:lineRule="auto"/>
            </w:pPr>
            <w:r w:rsidRPr="006E2AD5">
              <w:t>SCE13OE002</w:t>
            </w:r>
          </w:p>
        </w:tc>
        <w:tc>
          <w:tcPr>
            <w:tcW w:w="5265" w:type="dxa"/>
          </w:tcPr>
          <w:p w:rsidR="00081C45" w:rsidRPr="008E6B1C" w:rsidRDefault="006E2AD5" w:rsidP="001E7828">
            <w:pPr>
              <w:keepNext/>
              <w:spacing w:after="0" w:line="240" w:lineRule="auto"/>
            </w:pPr>
            <w:r w:rsidRPr="006E2AD5">
              <w:t>Residential Use Energy Efficient Televisions</w:t>
            </w:r>
          </w:p>
        </w:tc>
        <w:tc>
          <w:tcPr>
            <w:tcW w:w="1764" w:type="dxa"/>
          </w:tcPr>
          <w:p w:rsidR="00081C45" w:rsidRPr="008E6B1C" w:rsidRDefault="006E2AD5" w:rsidP="001E7828">
            <w:pPr>
              <w:keepNext/>
              <w:spacing w:after="0" w:line="240" w:lineRule="auto"/>
              <w:jc w:val="right"/>
            </w:pPr>
            <w:r>
              <w:t>6/5/2012</w:t>
            </w:r>
          </w:p>
        </w:tc>
      </w:tr>
      <w:tr w:rsidR="00081C45" w:rsidRPr="008E6B1C" w:rsidTr="0025457E">
        <w:trPr>
          <w:trHeight w:val="276"/>
        </w:trPr>
        <w:tc>
          <w:tcPr>
            <w:tcW w:w="2256" w:type="dxa"/>
            <w:tcBorders>
              <w:right w:val="nil"/>
            </w:tcBorders>
            <w:shd w:val="pct25" w:color="auto" w:fill="auto"/>
          </w:tcPr>
          <w:p w:rsidR="00081C45" w:rsidRPr="008E6B1C" w:rsidRDefault="00081C45" w:rsidP="001E7828">
            <w:pPr>
              <w:keepNext/>
              <w:spacing w:after="0" w:line="240" w:lineRule="auto"/>
              <w:rPr>
                <w:b/>
              </w:rPr>
            </w:pPr>
            <w:r w:rsidRPr="008E6B1C">
              <w:rPr>
                <w:b/>
              </w:rPr>
              <w:t>PG&amp;E</w:t>
            </w:r>
          </w:p>
        </w:tc>
        <w:tc>
          <w:tcPr>
            <w:tcW w:w="5265" w:type="dxa"/>
            <w:tcBorders>
              <w:left w:val="nil"/>
              <w:right w:val="nil"/>
            </w:tcBorders>
            <w:shd w:val="pct25" w:color="auto" w:fill="auto"/>
          </w:tcPr>
          <w:p w:rsidR="00081C45" w:rsidRPr="008E6B1C" w:rsidRDefault="00081C45" w:rsidP="001E7828">
            <w:pPr>
              <w:keepNext/>
              <w:spacing w:after="0" w:line="240" w:lineRule="auto"/>
            </w:pPr>
          </w:p>
        </w:tc>
        <w:tc>
          <w:tcPr>
            <w:tcW w:w="1764" w:type="dxa"/>
            <w:tcBorders>
              <w:left w:val="nil"/>
            </w:tcBorders>
            <w:shd w:val="pct25" w:color="auto" w:fill="auto"/>
          </w:tcPr>
          <w:p w:rsidR="00081C45" w:rsidRPr="008E6B1C" w:rsidRDefault="00081C45" w:rsidP="001E7828">
            <w:pPr>
              <w:keepNext/>
              <w:spacing w:after="0" w:line="240" w:lineRule="auto"/>
              <w:jc w:val="right"/>
            </w:pPr>
          </w:p>
        </w:tc>
      </w:tr>
      <w:tr w:rsidR="00081C45" w:rsidRPr="008E6B1C" w:rsidTr="0025457E">
        <w:trPr>
          <w:trHeight w:val="276"/>
        </w:trPr>
        <w:tc>
          <w:tcPr>
            <w:tcW w:w="2256" w:type="dxa"/>
          </w:tcPr>
          <w:p w:rsidR="00081C45" w:rsidRPr="008E6B1C" w:rsidRDefault="006E2AD5" w:rsidP="001E7828">
            <w:pPr>
              <w:keepNext/>
              <w:spacing w:after="0" w:line="240" w:lineRule="auto"/>
            </w:pPr>
            <w:r w:rsidRPr="006E2AD5">
              <w:t>PGECOAPP104</w:t>
            </w:r>
          </w:p>
        </w:tc>
        <w:tc>
          <w:tcPr>
            <w:tcW w:w="5265" w:type="dxa"/>
          </w:tcPr>
          <w:p w:rsidR="00081C45" w:rsidRPr="008E6B1C" w:rsidRDefault="006E2AD5" w:rsidP="001E7828">
            <w:pPr>
              <w:keepNext/>
              <w:spacing w:after="0" w:line="240" w:lineRule="auto"/>
            </w:pPr>
            <w:r w:rsidRPr="006E2AD5">
              <w:t>Energy Efficient Televisions</w:t>
            </w:r>
          </w:p>
        </w:tc>
        <w:tc>
          <w:tcPr>
            <w:tcW w:w="1764" w:type="dxa"/>
          </w:tcPr>
          <w:p w:rsidR="00081C45" w:rsidRPr="008E6B1C" w:rsidRDefault="006E2AD5" w:rsidP="001E7828">
            <w:pPr>
              <w:keepNext/>
              <w:spacing w:after="0" w:line="240" w:lineRule="auto"/>
              <w:jc w:val="right"/>
            </w:pPr>
            <w:r>
              <w:t>6/14</w:t>
            </w:r>
            <w:r w:rsidR="0073301D">
              <w:t>/2012</w:t>
            </w:r>
          </w:p>
        </w:tc>
      </w:tr>
    </w:tbl>
    <w:p w:rsidR="00794019" w:rsidRDefault="00794019" w:rsidP="00794019">
      <w:pPr>
        <w:tabs>
          <w:tab w:val="left" w:pos="2520"/>
        </w:tabs>
      </w:pPr>
    </w:p>
    <w:p w:rsidR="0025457E" w:rsidRPr="00E95B84" w:rsidRDefault="0025457E" w:rsidP="00794019">
      <w:pPr>
        <w:tabs>
          <w:tab w:val="left" w:pos="2520"/>
        </w:tabs>
        <w:rPr>
          <w:b/>
          <w:u w:val="single"/>
        </w:rPr>
      </w:pPr>
      <w:r w:rsidRPr="00E95B84">
        <w:rPr>
          <w:b/>
          <w:u w:val="single"/>
        </w:rPr>
        <w:t xml:space="preserve">Workpaper </w:t>
      </w:r>
      <w:r w:rsidR="00721A99" w:rsidRPr="00E95B84">
        <w:rPr>
          <w:b/>
          <w:u w:val="single"/>
        </w:rPr>
        <w:t>Disposition</w:t>
      </w:r>
      <w:r w:rsidRPr="00E95B84">
        <w:rPr>
          <w:b/>
          <w:u w:val="single"/>
        </w:rPr>
        <w:t>:</w:t>
      </w:r>
    </w:p>
    <w:p w:rsidR="00827882" w:rsidRPr="00E95B84" w:rsidRDefault="00827882" w:rsidP="00827882">
      <w:pPr>
        <w:tabs>
          <w:tab w:val="left" w:pos="2520"/>
        </w:tabs>
      </w:pPr>
      <w:r w:rsidRPr="00E95B84">
        <w:rPr>
          <w:b/>
        </w:rPr>
        <w:t>2013-2014 Disposition</w:t>
      </w:r>
      <w:r w:rsidR="0096429F" w:rsidRPr="00E95B84">
        <w:rPr>
          <w:b/>
        </w:rPr>
        <w:t xml:space="preserve"> </w:t>
      </w:r>
      <w:r w:rsidRPr="00E95B84">
        <w:rPr>
          <w:b/>
        </w:rPr>
        <w:t>Summary</w:t>
      </w:r>
    </w:p>
    <w:p w:rsidR="00E313C4" w:rsidRDefault="00B578DD" w:rsidP="00827882">
      <w:pPr>
        <w:tabs>
          <w:tab w:val="left" w:pos="2520"/>
        </w:tabs>
      </w:pPr>
      <w:r>
        <w:t>PG&amp;E and SCE</w:t>
      </w:r>
      <w:r w:rsidR="006E2AD5">
        <w:t xml:space="preserve"> workpapers use the same technology and measure definitions. </w:t>
      </w:r>
      <w:r>
        <w:t xml:space="preserve">SDG&amp;E uses technology definitions and savings values from the 2010-2012 cycle. </w:t>
      </w:r>
      <w:r w:rsidR="006E2AD5">
        <w:t>Savings calculations across all workpapers use the same assumptions including identical direct savings. Whole building savings are calculated by multiplying the direct savings and applicable HVAC interactive effects.</w:t>
      </w:r>
    </w:p>
    <w:p w:rsidR="006E2AD5" w:rsidRDefault="006E2AD5" w:rsidP="00827882">
      <w:pPr>
        <w:tabs>
          <w:tab w:val="left" w:pos="2520"/>
        </w:tabs>
      </w:pPr>
      <w:r>
        <w:t>The following revisions are required:</w:t>
      </w:r>
    </w:p>
    <w:p w:rsidR="00B578DD" w:rsidRDefault="00B578DD" w:rsidP="00B578DD">
      <w:pPr>
        <w:pStyle w:val="ListParagraph"/>
        <w:numPr>
          <w:ilvl w:val="0"/>
          <w:numId w:val="12"/>
        </w:numPr>
        <w:tabs>
          <w:tab w:val="left" w:pos="2520"/>
        </w:tabs>
      </w:pPr>
      <w:r>
        <w:t>SDG&amp;E technology and measure definitions shall be updated to match PG&amp;E and SCE workpapers. Savings values shall be update according to this disposition.</w:t>
      </w:r>
    </w:p>
    <w:p w:rsidR="00B578DD" w:rsidRDefault="00B578DD" w:rsidP="00B578DD">
      <w:pPr>
        <w:pStyle w:val="ListParagraph"/>
        <w:tabs>
          <w:tab w:val="left" w:pos="2520"/>
        </w:tabs>
      </w:pPr>
    </w:p>
    <w:p w:rsidR="002C5524" w:rsidRDefault="002C5524" w:rsidP="002C5524">
      <w:pPr>
        <w:pStyle w:val="ListParagraph"/>
        <w:numPr>
          <w:ilvl w:val="0"/>
          <w:numId w:val="12"/>
        </w:numPr>
        <w:tabs>
          <w:tab w:val="left" w:pos="2520"/>
        </w:tabs>
      </w:pPr>
      <w:r>
        <w:t>Reduce demand impacts to reflect latest PG&amp;E research:</w:t>
      </w:r>
    </w:p>
    <w:p w:rsidR="002C5524" w:rsidRDefault="002C5524" w:rsidP="002C5524">
      <w:pPr>
        <w:tabs>
          <w:tab w:val="left" w:pos="2340"/>
        </w:tabs>
        <w:spacing w:after="0"/>
        <w:ind w:left="720"/>
      </w:pPr>
      <w:r w:rsidRPr="002C5524">
        <w:rPr>
          <w:b/>
        </w:rPr>
        <w:t>PG&amp;E Usage Study: Daily Usage Pattern</w:t>
      </w:r>
    </w:p>
    <w:p w:rsidR="002C5524" w:rsidRDefault="002C5524" w:rsidP="002C5524">
      <w:pPr>
        <w:tabs>
          <w:tab w:val="left" w:pos="2340"/>
        </w:tabs>
        <w:spacing w:after="0"/>
        <w:ind w:left="360"/>
      </w:pPr>
    </w:p>
    <w:p w:rsidR="002C5524" w:rsidRDefault="002C5524" w:rsidP="002C5524">
      <w:pPr>
        <w:tabs>
          <w:tab w:val="left" w:pos="2340"/>
        </w:tabs>
        <w:spacing w:after="0"/>
        <w:ind w:left="720"/>
      </w:pPr>
      <w:r>
        <w:t>PG&amp;E engaged The Nielsen Company in 2011 to investigate television characteristics and usage in California</w:t>
      </w:r>
      <w:r>
        <w:rPr>
          <w:rStyle w:val="FootnoteReference"/>
        </w:rPr>
        <w:footnoteReference w:id="1"/>
      </w:r>
      <w:r>
        <w:t xml:space="preserve">. Nielson also investigated television usage during the DEER peak demand period of 2-5pm on weekdays. </w:t>
      </w:r>
      <w:fldSimple w:instr=" REF _Ref349828173 ">
        <w:r>
          <w:t xml:space="preserve">Figure </w:t>
        </w:r>
        <w:r>
          <w:rPr>
            <w:noProof/>
          </w:rPr>
          <w:t>1</w:t>
        </w:r>
      </w:fldSimple>
      <w:r>
        <w:t xml:space="preserve"> shows the daily usage in minutes by television primacy. </w:t>
      </w:r>
      <w:fldSimple w:instr=" REF _Ref349828146 ">
        <w:r>
          <w:t xml:space="preserve">Figure </w:t>
        </w:r>
        <w:r>
          <w:rPr>
            <w:noProof/>
          </w:rPr>
          <w:t>2</w:t>
        </w:r>
      </w:fldSimple>
      <w:r>
        <w:t xml:space="preserve"> shows the peak period usage in minutes use by primacy and age. Demand benefits are the overall power reduction (for televisions, this is the reduction in on-mode power) multiplied by the coincident demand factor. The coincident demand factor is the fraction of daily use that occurs during the peak period. </w:t>
      </w:r>
      <w:fldSimple w:instr=" REF _Ref349828254 ">
        <w:r>
          <w:t xml:space="preserve">Table </w:t>
        </w:r>
        <w:r>
          <w:rPr>
            <w:noProof/>
          </w:rPr>
          <w:t>2</w:t>
        </w:r>
      </w:fldSimple>
      <w:r>
        <w:t xml:space="preserve"> lists coincident demand factors for all categories of </w:t>
      </w:r>
      <w:r>
        <w:lastRenderedPageBreak/>
        <w:t xml:space="preserve">televisions from </w:t>
      </w:r>
      <w:fldSimple w:instr=" REF _Ref349828173 ">
        <w:r>
          <w:t xml:space="preserve">Figure </w:t>
        </w:r>
        <w:r>
          <w:rPr>
            <w:noProof/>
          </w:rPr>
          <w:t>1</w:t>
        </w:r>
      </w:fldSimple>
      <w:r>
        <w:t xml:space="preserve"> and </w:t>
      </w:r>
      <w:fldSimple w:instr=" REF _Ref349828146 ">
        <w:r>
          <w:t xml:space="preserve">Figure </w:t>
        </w:r>
        <w:r>
          <w:rPr>
            <w:noProof/>
          </w:rPr>
          <w:t>2</w:t>
        </w:r>
      </w:fldSimple>
      <w:r>
        <w:t xml:space="preserve"> along with value used in the original PG&amp;E workpaper. Regardless of how the Nielson data is analyzed, coincident demand factors are much lower than the value used in the PG&amp;E workpaper by a factor of five or more. Savings values for demand shall be revised to assume a CDF of 0.031, which is the average value across all televisions.</w:t>
      </w:r>
    </w:p>
    <w:p w:rsidR="002C5524" w:rsidRDefault="002C5524" w:rsidP="002C5524">
      <w:pPr>
        <w:tabs>
          <w:tab w:val="left" w:pos="2340"/>
        </w:tabs>
        <w:spacing w:after="0"/>
        <w:ind w:left="360"/>
      </w:pPr>
    </w:p>
    <w:p w:rsidR="002C5524" w:rsidRDefault="002C5524" w:rsidP="002C5524">
      <w:pPr>
        <w:pStyle w:val="Caption"/>
        <w:keepNext/>
        <w:ind w:left="720"/>
      </w:pPr>
      <w:bookmarkStart w:id="3" w:name="_Ref349828173"/>
      <w:r>
        <w:t xml:space="preserve">Figure </w:t>
      </w:r>
      <w:fldSimple w:instr=" SEQ Figure \* ARABIC ">
        <w:r w:rsidR="00C55A40">
          <w:rPr>
            <w:noProof/>
          </w:rPr>
          <w:t>1</w:t>
        </w:r>
      </w:fldSimple>
      <w:bookmarkEnd w:id="3"/>
      <w:r>
        <w:rPr>
          <w:noProof/>
        </w:rPr>
        <w:t xml:space="preserve"> - Daily Television Usage in Minutes</w:t>
      </w:r>
    </w:p>
    <w:p w:rsidR="002C5524" w:rsidRDefault="005522C6" w:rsidP="002C5524">
      <w:pPr>
        <w:tabs>
          <w:tab w:val="left" w:pos="2340"/>
        </w:tabs>
        <w:spacing w:after="0"/>
        <w:ind w:left="720"/>
      </w:pPr>
      <w:r>
        <w:rPr>
          <w:noProof/>
        </w:rPr>
        <w:drawing>
          <wp:inline distT="0" distB="0" distL="0" distR="0" wp14:anchorId="5E26F8AF" wp14:editId="181F3DEC">
            <wp:extent cx="3383280" cy="2537460"/>
            <wp:effectExtent l="19050" t="19050" r="26670" b="15240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253746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A5A5A5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C5524" w:rsidRDefault="002C5524" w:rsidP="002C5524">
      <w:pPr>
        <w:tabs>
          <w:tab w:val="left" w:pos="2340"/>
        </w:tabs>
        <w:spacing w:after="0"/>
        <w:ind w:left="360"/>
      </w:pPr>
    </w:p>
    <w:p w:rsidR="002C5524" w:rsidRDefault="002C5524" w:rsidP="002C5524">
      <w:pPr>
        <w:pStyle w:val="Caption"/>
        <w:keepNext/>
        <w:ind w:left="720"/>
      </w:pPr>
      <w:bookmarkStart w:id="4" w:name="_Ref349828146"/>
      <w:r>
        <w:t xml:space="preserve">Figure </w:t>
      </w:r>
      <w:fldSimple w:instr=" SEQ Figure \* ARABIC ">
        <w:r w:rsidR="00C55A40">
          <w:rPr>
            <w:noProof/>
          </w:rPr>
          <w:t>2</w:t>
        </w:r>
      </w:fldSimple>
      <w:bookmarkEnd w:id="4"/>
      <w:r>
        <w:rPr>
          <w:noProof/>
        </w:rPr>
        <w:t xml:space="preserve"> - Television Usage During Peak Period</w:t>
      </w:r>
    </w:p>
    <w:p w:rsidR="002C5524" w:rsidRDefault="005522C6" w:rsidP="002C5524">
      <w:pPr>
        <w:tabs>
          <w:tab w:val="left" w:pos="2340"/>
        </w:tabs>
        <w:spacing w:after="0"/>
        <w:ind w:left="720"/>
      </w:pPr>
      <w:r>
        <w:rPr>
          <w:noProof/>
        </w:rPr>
        <w:drawing>
          <wp:inline distT="0" distB="0" distL="0" distR="0" wp14:anchorId="0197533E" wp14:editId="25611019">
            <wp:extent cx="3383280" cy="2537460"/>
            <wp:effectExtent l="19050" t="19050" r="26670" b="152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253746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A5A5A5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C5524" w:rsidRDefault="002C5524" w:rsidP="002C5524">
      <w:pPr>
        <w:tabs>
          <w:tab w:val="left" w:pos="2340"/>
        </w:tabs>
        <w:spacing w:after="0"/>
        <w:ind w:left="360"/>
      </w:pPr>
    </w:p>
    <w:p w:rsidR="002C5524" w:rsidRDefault="002C5524" w:rsidP="002C5524">
      <w:pPr>
        <w:pStyle w:val="Caption"/>
        <w:keepNext/>
        <w:ind w:left="720"/>
      </w:pPr>
      <w:bookmarkStart w:id="5" w:name="_Ref349828254"/>
      <w:r>
        <w:lastRenderedPageBreak/>
        <w:t xml:space="preserve">Table </w:t>
      </w:r>
      <w:fldSimple w:instr=" SEQ Table \* ARABIC ">
        <w:r>
          <w:rPr>
            <w:noProof/>
          </w:rPr>
          <w:t>2</w:t>
        </w:r>
      </w:fldSimple>
      <w:bookmarkEnd w:id="5"/>
      <w:r>
        <w:rPr>
          <w:noProof/>
        </w:rPr>
        <w:t xml:space="preserve"> - Coincident Demand Factors by Primacy and Age</w:t>
      </w:r>
    </w:p>
    <w:tbl>
      <w:tblPr>
        <w:tblW w:w="9095" w:type="dxa"/>
        <w:tblInd w:w="828" w:type="dxa"/>
        <w:tblLayout w:type="fixed"/>
        <w:tblLook w:val="0000" w:firstRow="0" w:lastRow="0" w:firstColumn="0" w:lastColumn="0" w:noHBand="0" w:noVBand="0"/>
      </w:tblPr>
      <w:tblGrid>
        <w:gridCol w:w="1003"/>
        <w:gridCol w:w="2627"/>
        <w:gridCol w:w="1381"/>
        <w:gridCol w:w="1384"/>
        <w:gridCol w:w="1350"/>
        <w:gridCol w:w="1350"/>
      </w:tblGrid>
      <w:tr w:rsidR="002C5524" w:rsidRPr="00985924" w:rsidTr="002C5524">
        <w:trPr>
          <w:trHeight w:val="581"/>
        </w:trPr>
        <w:tc>
          <w:tcPr>
            <w:tcW w:w="3630" w:type="dxa"/>
            <w:gridSpan w:val="2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vAlign w:val="bottom"/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Category</w:t>
            </w:r>
          </w:p>
        </w:tc>
        <w:tc>
          <w:tcPr>
            <w:tcW w:w="1381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bottom"/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Peak Period Usage (minutes)</w:t>
            </w:r>
          </w:p>
        </w:tc>
        <w:tc>
          <w:tcPr>
            <w:tcW w:w="1384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bottom"/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Peak Period Usage (hours)</w:t>
            </w:r>
          </w:p>
        </w:tc>
        <w:tc>
          <w:tcPr>
            <w:tcW w:w="1350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bottom"/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Average Daily Usage (hours)</w:t>
            </w:r>
          </w:p>
        </w:tc>
        <w:tc>
          <w:tcPr>
            <w:tcW w:w="1350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vAlign w:val="bottom"/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Coincident Demand Factor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 w:val="restart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By Primacy</w:t>
            </w:r>
          </w:p>
        </w:tc>
        <w:tc>
          <w:tcPr>
            <w:tcW w:w="262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Average Across all TVs</w:t>
            </w:r>
          </w:p>
        </w:tc>
        <w:tc>
          <w:tcPr>
            <w:tcW w:w="138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28.5</w:t>
            </w:r>
          </w:p>
        </w:tc>
        <w:tc>
          <w:tcPr>
            <w:tcW w:w="138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0.475</w:t>
            </w:r>
          </w:p>
        </w:tc>
        <w:tc>
          <w:tcPr>
            <w:tcW w:w="135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5.1</w:t>
            </w:r>
          </w:p>
        </w:tc>
        <w:tc>
          <w:tcPr>
            <w:tcW w:w="135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0.031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Most Watched TV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49.3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0.822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7.7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0.036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Second Most Watched TV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19.5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0.325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4.0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0.027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Third Most Watched TV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12.4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0.207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2.9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0.024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Fourth Most Watched TV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9.2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0.153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2.4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0.021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Fifth Most Watched TV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7.2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0.120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2.0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0.020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Sixth Most Watched TV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6.0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0.100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1.6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0.021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 w:val="restart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By Age</w:t>
            </w:r>
          </w:p>
        </w:tc>
        <w:tc>
          <w:tcPr>
            <w:tcW w:w="262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2010+</w:t>
            </w:r>
          </w:p>
        </w:tc>
        <w:tc>
          <w:tcPr>
            <w:tcW w:w="138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33.9</w:t>
            </w:r>
          </w:p>
        </w:tc>
        <w:tc>
          <w:tcPr>
            <w:tcW w:w="138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0.566</w:t>
            </w:r>
          </w:p>
        </w:tc>
        <w:tc>
          <w:tcPr>
            <w:tcW w:w="135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5.7</w:t>
            </w:r>
          </w:p>
        </w:tc>
        <w:tc>
          <w:tcPr>
            <w:tcW w:w="135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0.033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2005-2009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29.2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0.487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5.2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0.031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2000-2004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26.8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0.446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4.8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0.031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1995-1999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23.4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0.391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4.4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0.030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vMerge/>
            <w:tcBorders>
              <w:top w:val="single" w:sz="4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&lt;= 1994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21.5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0.359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4.1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0.029</w:t>
            </w:r>
          </w:p>
        </w:tc>
      </w:tr>
      <w:tr w:rsidR="002C5524" w:rsidRPr="00985924" w:rsidTr="002C5524">
        <w:trPr>
          <w:trHeight w:val="290"/>
        </w:trPr>
        <w:tc>
          <w:tcPr>
            <w:tcW w:w="1003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All</w:t>
            </w:r>
          </w:p>
        </w:tc>
        <w:tc>
          <w:tcPr>
            <w:tcW w:w="2627" w:type="dxa"/>
            <w:tcBorders>
              <w:top w:val="double" w:sz="4" w:space="0" w:color="auto"/>
              <w:left w:val="single" w:sz="4" w:space="0" w:color="auto"/>
              <w:bottom w:val="single" w:sz="12" w:space="0" w:color="auto"/>
              <w:right w:val="nil"/>
            </w:tcBorders>
          </w:tcPr>
          <w:p w:rsidR="002C5524" w:rsidRPr="002614A5" w:rsidRDefault="002C5524" w:rsidP="008F167B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PG&amp;E Workpaper Value</w:t>
            </w:r>
          </w:p>
        </w:tc>
        <w:tc>
          <w:tcPr>
            <w:tcW w:w="1381" w:type="dxa"/>
            <w:tcBorders>
              <w:top w:val="double" w:sz="4" w:space="0" w:color="auto"/>
              <w:left w:val="nil"/>
              <w:bottom w:val="single" w:sz="12" w:space="0" w:color="auto"/>
              <w:right w:val="nil"/>
            </w:tcBorders>
          </w:tcPr>
          <w:p w:rsidR="002C5524" w:rsidRPr="002614A5" w:rsidRDefault="002C5524" w:rsidP="008F16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1384" w:type="dxa"/>
            <w:tcBorders>
              <w:top w:val="double" w:sz="4" w:space="0" w:color="auto"/>
              <w:left w:val="nil"/>
              <w:bottom w:val="single" w:sz="12" w:space="0" w:color="auto"/>
              <w:right w:val="nil"/>
            </w:tcBorders>
          </w:tcPr>
          <w:p w:rsidR="002C5524" w:rsidRPr="002614A5" w:rsidRDefault="002C5524" w:rsidP="008F16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double" w:sz="4" w:space="0" w:color="auto"/>
              <w:left w:val="nil"/>
              <w:bottom w:val="single" w:sz="12" w:space="0" w:color="auto"/>
              <w:right w:val="single" w:sz="4" w:space="0" w:color="auto"/>
            </w:tcBorders>
          </w:tcPr>
          <w:p w:rsidR="002C5524" w:rsidRPr="002614A5" w:rsidRDefault="002C5524" w:rsidP="008F16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doub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2C5524" w:rsidRPr="002614A5" w:rsidRDefault="002C5524" w:rsidP="008F16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614A5">
              <w:rPr>
                <w:rFonts w:cs="Calibri"/>
                <w:color w:val="000000"/>
                <w:sz w:val="20"/>
                <w:szCs w:val="20"/>
              </w:rPr>
              <w:t>0.</w:t>
            </w:r>
            <w:r>
              <w:rPr>
                <w:rFonts w:cs="Calibri"/>
                <w:color w:val="000000"/>
                <w:sz w:val="20"/>
                <w:szCs w:val="20"/>
              </w:rPr>
              <w:t>153</w:t>
            </w:r>
          </w:p>
        </w:tc>
      </w:tr>
    </w:tbl>
    <w:p w:rsidR="002C5524" w:rsidRPr="002C5524" w:rsidRDefault="002C5524" w:rsidP="002C5524">
      <w:pPr>
        <w:pStyle w:val="ListParagraph"/>
        <w:keepNext/>
        <w:tabs>
          <w:tab w:val="left" w:pos="2340"/>
        </w:tabs>
        <w:spacing w:after="0"/>
        <w:rPr>
          <w:b/>
        </w:rPr>
      </w:pPr>
    </w:p>
    <w:p w:rsidR="00624502" w:rsidRDefault="00624502" w:rsidP="00624502">
      <w:pPr>
        <w:pStyle w:val="ListParagraph"/>
        <w:numPr>
          <w:ilvl w:val="0"/>
          <w:numId w:val="12"/>
        </w:numPr>
        <w:tabs>
          <w:tab w:val="left" w:pos="2520"/>
        </w:tabs>
      </w:pPr>
      <w:r>
        <w:t>Revise EUL to 7</w:t>
      </w:r>
      <w:r w:rsidR="006E2AD5">
        <w:t xml:space="preserve"> years:</w:t>
      </w:r>
    </w:p>
    <w:p w:rsidR="00624502" w:rsidRDefault="00624502" w:rsidP="00624502">
      <w:pPr>
        <w:keepNext/>
        <w:tabs>
          <w:tab w:val="left" w:pos="2340"/>
        </w:tabs>
        <w:spacing w:after="0"/>
        <w:ind w:left="720"/>
      </w:pPr>
      <w:r w:rsidRPr="00624502">
        <w:rPr>
          <w:b/>
        </w:rPr>
        <w:t>PG&amp;E Usage Study: Effective Useful Life</w:t>
      </w:r>
    </w:p>
    <w:p w:rsidR="00624502" w:rsidRDefault="00624502" w:rsidP="00624502">
      <w:pPr>
        <w:pStyle w:val="ListParagraph"/>
        <w:keepNext/>
        <w:tabs>
          <w:tab w:val="left" w:pos="2340"/>
        </w:tabs>
        <w:spacing w:after="0"/>
      </w:pPr>
    </w:p>
    <w:p w:rsidR="009E34FD" w:rsidRDefault="00624502" w:rsidP="00624502">
      <w:pPr>
        <w:tabs>
          <w:tab w:val="left" w:pos="2340"/>
        </w:tabs>
        <w:spacing w:after="0"/>
        <w:ind w:left="720"/>
      </w:pPr>
      <w:r>
        <w:t>During the 2010-2012 cycle, Energy Divis</w:t>
      </w:r>
      <w:r w:rsidR="009E34FD">
        <w:t>ion staff expressed concern that the 10 year EUL proposed for televisions did not take into account the following:</w:t>
      </w:r>
    </w:p>
    <w:p w:rsidR="009E34FD" w:rsidRDefault="009E34FD" w:rsidP="009E34FD">
      <w:pPr>
        <w:pStyle w:val="ListParagraph"/>
        <w:numPr>
          <w:ilvl w:val="0"/>
          <w:numId w:val="14"/>
        </w:numPr>
        <w:tabs>
          <w:tab w:val="left" w:pos="2340"/>
        </w:tabs>
        <w:spacing w:after="0"/>
      </w:pPr>
      <w:r>
        <w:t xml:space="preserve">annual television usage may decrease with age </w:t>
      </w:r>
    </w:p>
    <w:p w:rsidR="009E34FD" w:rsidRDefault="009E34FD" w:rsidP="009E34FD">
      <w:pPr>
        <w:pStyle w:val="ListParagraph"/>
        <w:numPr>
          <w:ilvl w:val="0"/>
          <w:numId w:val="14"/>
        </w:numPr>
        <w:tabs>
          <w:tab w:val="left" w:pos="2340"/>
        </w:tabs>
        <w:spacing w:after="0"/>
      </w:pPr>
      <w:r>
        <w:t>older televisions may eventually get displaced to locations in the home where they see little usage</w:t>
      </w:r>
    </w:p>
    <w:p w:rsidR="009E34FD" w:rsidRDefault="009E34FD" w:rsidP="009E34FD">
      <w:pPr>
        <w:tabs>
          <w:tab w:val="left" w:pos="2340"/>
        </w:tabs>
        <w:spacing w:after="0"/>
        <w:ind w:left="720"/>
      </w:pPr>
    </w:p>
    <w:p w:rsidR="00624502" w:rsidRDefault="009E34FD" w:rsidP="009E34FD">
      <w:pPr>
        <w:tabs>
          <w:tab w:val="left" w:pos="2340"/>
        </w:tabs>
        <w:spacing w:after="0"/>
        <w:ind w:left="720"/>
      </w:pPr>
      <w:r>
        <w:t xml:space="preserve">To address this concern, </w:t>
      </w:r>
      <w:r w:rsidR="002C5524">
        <w:t xml:space="preserve">the Nielson study examined usage of televisions by age and primacy. </w:t>
      </w:r>
      <w:r w:rsidR="00624502">
        <w:t>Energy Division staff believes if a television is eventually placed in a location where it gets little or no use, those years of service should not be considered in the determination of the EUL. The Nielsen study shows that approximately 80% of televisions in California are 10 years old or less, and a little more than 50% of televisions are 6 years old or less. These results indicate that most televisions are removed from service before 10 years.</w:t>
      </w:r>
    </w:p>
    <w:p w:rsidR="00624502" w:rsidRDefault="00624502" w:rsidP="00624502">
      <w:pPr>
        <w:tabs>
          <w:tab w:val="left" w:pos="2340"/>
        </w:tabs>
        <w:spacing w:after="0"/>
        <w:ind w:left="720"/>
      </w:pPr>
    </w:p>
    <w:p w:rsidR="00624502" w:rsidRDefault="00624502" w:rsidP="00624502">
      <w:pPr>
        <w:tabs>
          <w:tab w:val="left" w:pos="2340"/>
        </w:tabs>
        <w:spacing w:after="0"/>
        <w:ind w:left="720"/>
      </w:pPr>
      <w:r w:rsidRPr="00CC6865">
        <w:fldChar w:fldCharType="begin"/>
      </w:r>
      <w:r w:rsidRPr="00CC6865">
        <w:instrText xml:space="preserve"> REF _Ref337542902  \* MERGEFORMAT </w:instrText>
      </w:r>
      <w:r w:rsidRPr="00CC6865">
        <w:fldChar w:fldCharType="end"/>
      </w:r>
      <w:fldSimple w:instr=" REF _Ref349645172  \* MERGEFORMAT ">
        <w:r w:rsidR="009E34FD" w:rsidRPr="00CC6865">
          <w:t xml:space="preserve">Figure </w:t>
        </w:r>
        <w:r w:rsidR="009E34FD" w:rsidRPr="00CC6865">
          <w:rPr>
            <w:noProof/>
          </w:rPr>
          <w:t>1</w:t>
        </w:r>
      </w:fldSimple>
      <w:r w:rsidR="009E34FD" w:rsidRPr="00CC6865">
        <w:rPr>
          <w:rStyle w:val="FootnoteReference"/>
        </w:rPr>
        <w:footnoteReference w:id="2"/>
      </w:r>
      <w:r w:rsidR="009E34FD">
        <w:t xml:space="preserve"> </w:t>
      </w:r>
      <w:r>
        <w:t xml:space="preserve">shows that about 52% of all televisions were purchased after 2004. Since the EUL is the number of years at which the median of measures is expected to still be in service, </w:t>
      </w:r>
      <w:fldSimple w:instr=" REF _Ref349645172 ">
        <w:r w:rsidR="009E34FD">
          <w:t xml:space="preserve">Figure </w:t>
        </w:r>
        <w:r w:rsidR="009E34FD">
          <w:rPr>
            <w:noProof/>
          </w:rPr>
          <w:t>1</w:t>
        </w:r>
      </w:fldSimple>
      <w:r w:rsidR="009E34FD">
        <w:t xml:space="preserve"> </w:t>
      </w:r>
      <w:r>
        <w:t>would indicate that the EUL for televisions is in the neighborhood of 7 years.</w:t>
      </w:r>
    </w:p>
    <w:p w:rsidR="009E34FD" w:rsidRDefault="009E34FD" w:rsidP="00624502">
      <w:pPr>
        <w:tabs>
          <w:tab w:val="left" w:pos="2340"/>
        </w:tabs>
        <w:spacing w:after="0"/>
        <w:ind w:left="720"/>
      </w:pPr>
    </w:p>
    <w:p w:rsidR="00624502" w:rsidRDefault="009E34FD" w:rsidP="002C5524">
      <w:pPr>
        <w:pStyle w:val="Caption"/>
        <w:keepNext/>
        <w:ind w:left="720"/>
      </w:pPr>
      <w:bookmarkStart w:id="6" w:name="_Ref349645172"/>
      <w:r>
        <w:lastRenderedPageBreak/>
        <w:t xml:space="preserve">Figure </w:t>
      </w:r>
      <w:fldSimple w:instr=" SEQ Figure \* ARABIC ">
        <w:r w:rsidR="00C55A40">
          <w:rPr>
            <w:noProof/>
          </w:rPr>
          <w:t>3</w:t>
        </w:r>
      </w:fldSimple>
      <w:bookmarkEnd w:id="6"/>
      <w:r>
        <w:t xml:space="preserve"> – Television Population, Age and Usage</w:t>
      </w:r>
    </w:p>
    <w:p w:rsidR="009E34FD" w:rsidRDefault="005522C6" w:rsidP="009E34FD">
      <w:pPr>
        <w:keepNext/>
        <w:tabs>
          <w:tab w:val="left" w:pos="2340"/>
        </w:tabs>
        <w:spacing w:after="0"/>
        <w:ind w:left="720"/>
      </w:pPr>
      <w:r>
        <w:rPr>
          <w:noProof/>
        </w:rPr>
        <w:drawing>
          <wp:inline distT="0" distB="0" distL="0" distR="0" wp14:anchorId="17B346C2" wp14:editId="53AE3DE1">
            <wp:extent cx="3383280" cy="2537460"/>
            <wp:effectExtent l="19050" t="19050" r="26670" b="1524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253746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A5A5A5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E2AD5" w:rsidRDefault="006E2AD5" w:rsidP="00624502">
      <w:pPr>
        <w:tabs>
          <w:tab w:val="left" w:pos="2520"/>
        </w:tabs>
        <w:ind w:left="720"/>
      </w:pPr>
    </w:p>
    <w:p w:rsidR="006E2AD5" w:rsidRDefault="00CC6865" w:rsidP="00CC6865">
      <w:pPr>
        <w:pStyle w:val="ListParagraph"/>
        <w:numPr>
          <w:ilvl w:val="0"/>
          <w:numId w:val="12"/>
        </w:numPr>
        <w:tabs>
          <w:tab w:val="left" w:pos="2520"/>
        </w:tabs>
      </w:pPr>
      <w:r>
        <w:t xml:space="preserve">Revise NTG to </w:t>
      </w:r>
      <w:r w:rsidR="00A82A73">
        <w:t>0.</w:t>
      </w:r>
      <w:r w:rsidR="000E0946">
        <w:t>10</w:t>
      </w:r>
    </w:p>
    <w:p w:rsidR="001B64D1" w:rsidRPr="001B64D1" w:rsidRDefault="001B64D1" w:rsidP="001B64D1">
      <w:pPr>
        <w:tabs>
          <w:tab w:val="left" w:pos="2520"/>
        </w:tabs>
        <w:ind w:left="720"/>
        <w:rPr>
          <w:b/>
        </w:rPr>
      </w:pPr>
      <w:r>
        <w:rPr>
          <w:b/>
        </w:rPr>
        <w:t>Workorder 34 Business and Consumer Electronics Impact Evaluation</w:t>
      </w:r>
    </w:p>
    <w:p w:rsidR="00107C02" w:rsidRDefault="001B64D1" w:rsidP="001B64D1">
      <w:pPr>
        <w:tabs>
          <w:tab w:val="left" w:pos="2520"/>
        </w:tabs>
        <w:ind w:left="720"/>
      </w:pPr>
      <w:r>
        <w:t>The draft Workorder 34 report</w:t>
      </w:r>
      <w:r>
        <w:rPr>
          <w:rStyle w:val="FootnoteReference"/>
        </w:rPr>
        <w:footnoteReference w:id="3"/>
      </w:r>
      <w:r>
        <w:t xml:space="preserve"> provides NTG recommendations that look backward at the accomplishments from the 2010-2012 cycle for energy efficient televisions. In order to develop forward looking NTG estimates, Energy Division staff examined several alternative scenarios </w:t>
      </w:r>
      <w:r w:rsidR="00D56F9B">
        <w:t xml:space="preserve">that </w:t>
      </w:r>
      <w:r>
        <w:t>utilized the data from WO34 report, projecting through the end of the 2012 program cycle. These options are presented in the attached spreadsheet TV-NTG-V3.xlsx.</w:t>
      </w:r>
    </w:p>
    <w:p w:rsidR="001B64D1" w:rsidRDefault="001B64D1" w:rsidP="001B64D1">
      <w:pPr>
        <w:tabs>
          <w:tab w:val="left" w:pos="2520"/>
        </w:tabs>
        <w:ind w:left="720"/>
      </w:pPr>
      <w:r>
        <w:t xml:space="preserve">To develop NTG estimates KEMA relied on a delphi panel to provide estimates of the overall program impact </w:t>
      </w:r>
      <w:r w:rsidR="000E0946">
        <w:t>for the 2010 to 2011 period</w:t>
      </w:r>
      <w:r>
        <w:t>. There was a very wide range in opinions resulting</w:t>
      </w:r>
      <w:r w:rsidR="00D56F9B">
        <w:t xml:space="preserve"> in</w:t>
      </w:r>
      <w:r>
        <w:t xml:space="preserve"> a low NTG value of 0.22 based on the median of panel inputs and a higher value of 0.50 based on the mean of panel inputs. </w:t>
      </w:r>
      <w:r w:rsidR="00001271">
        <w:t xml:space="preserve">The mean is driven higher than the median by the fact that the panel contained two groups of </w:t>
      </w:r>
      <w:r w:rsidR="000E0946">
        <w:t xml:space="preserve">opposite </w:t>
      </w:r>
      <w:r w:rsidR="00001271">
        <w:t xml:space="preserve">opinions: one group who believed the program had a substantial impact and one group who believed the program had little or no impact. It should be noted that three panel members who </w:t>
      </w:r>
      <w:r w:rsidR="000E0946">
        <w:t>expressed the opinion</w:t>
      </w:r>
      <w:r w:rsidR="00001271">
        <w:t xml:space="preserve"> </w:t>
      </w:r>
      <w:r w:rsidR="000E0946">
        <w:t xml:space="preserve">that </w:t>
      </w:r>
      <w:r w:rsidR="00001271">
        <w:t xml:space="preserve">the program had little or no impact chose </w:t>
      </w:r>
      <w:r w:rsidR="000E0946">
        <w:t xml:space="preserve">not </w:t>
      </w:r>
      <w:r w:rsidR="00001271">
        <w:t xml:space="preserve">to provide quantitative values and thus their opinions were effectively not contained in the numerical NTG estimates. </w:t>
      </w:r>
      <w:r w:rsidR="000E0946">
        <w:t>Similarly, o</w:t>
      </w:r>
      <w:r w:rsidR="00001271">
        <w:t xml:space="preserve">ne panel member who believed the program had substantial impact did not provide numerical values. For these reasons one might </w:t>
      </w:r>
      <w:r w:rsidR="000E0946">
        <w:t xml:space="preserve">choose to </w:t>
      </w:r>
      <w:r w:rsidR="00001271">
        <w:t>put more weight on the median values that represent the “less” influence view. However, s</w:t>
      </w:r>
      <w:r>
        <w:t xml:space="preserve">taff used </w:t>
      </w:r>
      <w:r w:rsidR="00001271">
        <w:t xml:space="preserve">both </w:t>
      </w:r>
      <w:r>
        <w:t>the mean and median inputs for program attributable sales to develop a range of forward looking NTG values.</w:t>
      </w:r>
      <w:r w:rsidR="00001271">
        <w:t xml:space="preserve"> </w:t>
      </w:r>
    </w:p>
    <w:p w:rsidR="00001271" w:rsidRDefault="000B05ED" w:rsidP="001B64D1">
      <w:pPr>
        <w:tabs>
          <w:tab w:val="left" w:pos="2520"/>
        </w:tabs>
        <w:ind w:left="720"/>
      </w:pPr>
      <w:r>
        <w:lastRenderedPageBreak/>
        <w:t xml:space="preserve">The most interesting outcome from this </w:t>
      </w:r>
      <w:r w:rsidR="000E0946">
        <w:t xml:space="preserve">delphi panel </w:t>
      </w:r>
      <w:r>
        <w:t>analysis is that using the mean and median values from Q3 2011 (the latest quarter examined in the WO34 analysis)</w:t>
      </w:r>
      <w:r w:rsidR="00461D64">
        <w:t xml:space="preserve"> and projecting out through the</w:t>
      </w:r>
      <w:r>
        <w:t xml:space="preserve"> end of 2012 results in mean and median NTG values of 0.06 and 0.07 respectively. This possibly indicates that, ov</w:t>
      </w:r>
      <w:r w:rsidR="00001271">
        <w:t>er time, the mean and median representing the divergence between the two somewhat opposite opinions of program influence</w:t>
      </w:r>
      <w:r w:rsidR="000E0946">
        <w:t>,</w:t>
      </w:r>
      <w:r w:rsidR="00001271">
        <w:t xml:space="preserve"> converge over time to </w:t>
      </w:r>
      <w:r>
        <w:t xml:space="preserve">a very low NTG value. </w:t>
      </w:r>
    </w:p>
    <w:p w:rsidR="00001271" w:rsidRDefault="00001271" w:rsidP="001B64D1">
      <w:pPr>
        <w:tabs>
          <w:tab w:val="left" w:pos="2520"/>
        </w:tabs>
        <w:ind w:left="720"/>
      </w:pPr>
      <w:r>
        <w:t xml:space="preserve">It is </w:t>
      </w:r>
      <w:r w:rsidR="007D0A07">
        <w:t>observed</w:t>
      </w:r>
      <w:r>
        <w:t xml:space="preserve"> that the panel members who provided estimates of substantial program impact during 2010 agreed that little program influence was possible once the Energy Star standard in place required a shift from fluorescent to LED back or edge lighting. </w:t>
      </w:r>
      <w:r w:rsidRPr="00A1601D">
        <w:t>As efficiency requirements increase, the size “break point” at which LED back</w:t>
      </w:r>
      <w:r>
        <w:t xml:space="preserve"> or edge lighting</w:t>
      </w:r>
      <w:r w:rsidRPr="00A1601D">
        <w:t xml:space="preserve"> must be used becomes smaller. </w:t>
      </w:r>
      <w:r>
        <w:t>As noted in t</w:t>
      </w:r>
      <w:r w:rsidRPr="00A1601D">
        <w:t xml:space="preserve">he </w:t>
      </w:r>
      <w:r>
        <w:t>workpaper discussion</w:t>
      </w:r>
      <w:r w:rsidRPr="00A1601D">
        <w:t xml:space="preserve"> of incremental measure costs</w:t>
      </w:r>
      <w:r>
        <w:t>,</w:t>
      </w:r>
      <w:r w:rsidRPr="00A1601D">
        <w:t xml:space="preserve"> the need </w:t>
      </w:r>
      <w:r>
        <w:t xml:space="preserve">arises </w:t>
      </w:r>
      <w:r w:rsidRPr="00A1601D">
        <w:t xml:space="preserve">for LED back </w:t>
      </w:r>
      <w:r>
        <w:t xml:space="preserve">or edge lighting </w:t>
      </w:r>
      <w:r w:rsidRPr="00A1601D">
        <w:t>in larger TVs in order to meet program efficiency requirements</w:t>
      </w:r>
      <w:r>
        <w:t xml:space="preserve"> past Energy Star 5. This requirement also raises a substantial barrier for program influence beyond that point as the market fully shifts to that technology</w:t>
      </w:r>
      <w:r w:rsidRPr="00A1601D">
        <w:t>. Energy Star 4 televisions</w:t>
      </w:r>
      <w:r>
        <w:t>, which were the primary program drivers during 2010,</w:t>
      </w:r>
      <w:r w:rsidRPr="00A1601D">
        <w:t xml:space="preserve"> do no</w:t>
      </w:r>
      <w:r w:rsidR="000E0946">
        <w:t xml:space="preserve">t require LED back or </w:t>
      </w:r>
      <w:r>
        <w:t>edge</w:t>
      </w:r>
      <w:r w:rsidR="000E0946">
        <w:t xml:space="preserve"> </w:t>
      </w:r>
      <w:r>
        <w:t>lighting</w:t>
      </w:r>
      <w:r w:rsidRPr="00A1601D">
        <w:t>.</w:t>
      </w:r>
      <w:r>
        <w:t xml:space="preserve"> </w:t>
      </w:r>
      <w:r w:rsidR="000E0946">
        <w:t>According to</w:t>
      </w:r>
      <w:r w:rsidRPr="00A1601D">
        <w:t xml:space="preserve"> workpaper</w:t>
      </w:r>
      <w:r w:rsidR="000E0946">
        <w:t xml:space="preserve"> estimates</w:t>
      </w:r>
      <w:r w:rsidRPr="00A1601D">
        <w:t xml:space="preserve"> </w:t>
      </w:r>
      <w:r>
        <w:t>the breakpoint at which the switch to LED must take place</w:t>
      </w:r>
      <w:r w:rsidRPr="00A1601D">
        <w:t xml:space="preserve"> is at a 40 inch screen size for Energy Star 5 and that all televisions require LED back</w:t>
      </w:r>
      <w:r w:rsidR="000E0946">
        <w:t xml:space="preserve"> or </w:t>
      </w:r>
      <w:r>
        <w:t>edge</w:t>
      </w:r>
      <w:r w:rsidR="000E0946">
        <w:t xml:space="preserve"> </w:t>
      </w:r>
      <w:r>
        <w:t>lighting</w:t>
      </w:r>
      <w:r w:rsidRPr="00A1601D">
        <w:t xml:space="preserve"> to achieve an Energy Star +20% level of energy efficiency. </w:t>
      </w:r>
      <w:r w:rsidR="00D56F9B">
        <w:t>A the time</w:t>
      </w:r>
      <w:r>
        <w:t xml:space="preserve"> Energy Star 5 became effective in late 2011</w:t>
      </w:r>
      <w:r w:rsidR="00D56F9B">
        <w:t>,</w:t>
      </w:r>
      <w:r w:rsidR="000E0946">
        <w:t xml:space="preserve"> the popular television size</w:t>
      </w:r>
      <w:r w:rsidR="00D56F9B">
        <w:t>s</w:t>
      </w:r>
      <w:r w:rsidR="000E0946">
        <w:t xml:space="preserve"> exceeded 40 inches</w:t>
      </w:r>
      <w:r w:rsidR="00D56F9B">
        <w:t>, and</w:t>
      </w:r>
      <w:r w:rsidR="000E0946">
        <w:t xml:space="preserve"> </w:t>
      </w:r>
      <w:r>
        <w:t>the market move to the LED technology limited the program effect.</w:t>
      </w:r>
    </w:p>
    <w:p w:rsidR="001B64D1" w:rsidRPr="001B64D1" w:rsidRDefault="000B05ED" w:rsidP="001B64D1">
      <w:pPr>
        <w:tabs>
          <w:tab w:val="left" w:pos="2520"/>
        </w:tabs>
        <w:ind w:left="720"/>
      </w:pPr>
      <w:r>
        <w:t xml:space="preserve">Based </w:t>
      </w:r>
      <w:r w:rsidR="007D0A07">
        <w:t>up</w:t>
      </w:r>
      <w:r>
        <w:t xml:space="preserve">on the NTG projections, Energy Division staff believes that the NTG for television measures is likely less than 0.10. This value is based on using the </w:t>
      </w:r>
      <w:r w:rsidR="00A82A73">
        <w:t>second and third</w:t>
      </w:r>
      <w:r>
        <w:t xml:space="preserve"> quarters of 2011 (which are the last </w:t>
      </w:r>
      <w:r w:rsidR="00A82A73">
        <w:t>two</w:t>
      </w:r>
      <w:r>
        <w:t xml:space="preserve"> quarters analyzed in the WO34 report) to project expected program accomplishments through the remainder of the 2010-2012 cycle. Refer to the attached workbook, TV-NTG-V3.xlsx, for complete details of the NTG analysis.</w:t>
      </w:r>
    </w:p>
    <w:p w:rsidR="000E4D1E" w:rsidRDefault="000E4D1E" w:rsidP="000E4D1E">
      <w:pPr>
        <w:tabs>
          <w:tab w:val="left" w:pos="2520"/>
        </w:tabs>
      </w:pPr>
    </w:p>
    <w:p w:rsidR="00C55A40" w:rsidRDefault="00C55A40" w:rsidP="00C55A40">
      <w:pPr>
        <w:pStyle w:val="Caption"/>
        <w:keepNext/>
      </w:pPr>
      <w:r>
        <w:t>NTG Analysis Spreadsheet</w:t>
      </w:r>
    </w:p>
    <w:p w:rsidR="00C55A40" w:rsidRDefault="00AB19F8" w:rsidP="000E4D1E">
      <w:pPr>
        <w:tabs>
          <w:tab w:val="left" w:pos="2520"/>
        </w:tabs>
      </w:pPr>
      <w:r>
        <w:object w:dxaOrig="1513" w:dyaOrig="9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65pt;height:48.15pt" o:ole="">
            <v:imagedata r:id="rId12" o:title=""/>
          </v:shape>
          <o:OLEObject Type="Embed" ProgID="Excel.Sheet.12" ShapeID="_x0000_i1025" DrawAspect="Icon" ObjectID="_1423926392" r:id="rId13"/>
        </w:object>
      </w:r>
    </w:p>
    <w:p w:rsidR="00C55A40" w:rsidRDefault="00C55A40" w:rsidP="000E4D1E">
      <w:pPr>
        <w:tabs>
          <w:tab w:val="left" w:pos="2520"/>
        </w:tabs>
      </w:pPr>
    </w:p>
    <w:p w:rsidR="00C55A40" w:rsidRDefault="00C55A40" w:rsidP="00C55A40">
      <w:pPr>
        <w:pStyle w:val="Caption"/>
        <w:keepNext/>
      </w:pPr>
      <w:r>
        <w:t>Approved Savings Values</w:t>
      </w:r>
    </w:p>
    <w:p w:rsidR="00C55A40" w:rsidRDefault="00AB19F8" w:rsidP="000E4D1E">
      <w:pPr>
        <w:tabs>
          <w:tab w:val="left" w:pos="2520"/>
        </w:tabs>
      </w:pPr>
      <w:r>
        <w:object w:dxaOrig="1513" w:dyaOrig="960">
          <v:shape id="_x0000_i1026" type="#_x0000_t75" style="width:75.65pt;height:48.15pt" o:ole="">
            <v:imagedata r:id="rId14" o:title=""/>
          </v:shape>
          <o:OLEObject Type="Embed" ProgID="Excel.Sheet.12" ShapeID="_x0000_i1026" DrawAspect="Icon" ObjectID="_1423926393" r:id="rId15"/>
        </w:object>
      </w:r>
    </w:p>
    <w:sectPr w:rsidR="00C55A40" w:rsidSect="00721A9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2240" w:h="15840"/>
      <w:pgMar w:top="1440" w:right="1440" w:bottom="1440" w:left="1440" w:header="720" w:footer="14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2081" w:rsidRDefault="00D82081" w:rsidP="0025457E">
      <w:pPr>
        <w:spacing w:after="0" w:line="240" w:lineRule="auto"/>
      </w:pPr>
      <w:r>
        <w:separator/>
      </w:r>
    </w:p>
  </w:endnote>
  <w:endnote w:type="continuationSeparator" w:id="0">
    <w:p w:rsidR="00D82081" w:rsidRDefault="00D82081" w:rsidP="00254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095A" w:rsidRDefault="0047095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946" w:rsidRPr="00721A99" w:rsidRDefault="000E0946" w:rsidP="0025457E">
    <w:pPr>
      <w:pStyle w:val="Header"/>
      <w:jc w:val="center"/>
    </w:pPr>
    <w:r>
      <w:t>Page</w:t>
    </w:r>
    <w:r w:rsidRPr="0025457E">
      <w:t xml:space="preserve"> </w:t>
    </w:r>
    <w:r w:rsidR="002F45CD">
      <w:fldChar w:fldCharType="begin"/>
    </w:r>
    <w:r w:rsidR="002F45CD">
      <w:instrText xml:space="preserve"> PAGE </w:instrText>
    </w:r>
    <w:r w:rsidR="002F45CD">
      <w:fldChar w:fldCharType="separate"/>
    </w:r>
    <w:r w:rsidR="0047095A">
      <w:rPr>
        <w:noProof/>
      </w:rPr>
      <w:t>2</w:t>
    </w:r>
    <w:r w:rsidR="002F45CD">
      <w:rPr>
        <w:noProof/>
      </w:rPr>
      <w:fldChar w:fldCharType="end"/>
    </w:r>
    <w:r w:rsidRPr="0025457E">
      <w:t xml:space="preserve"> of </w:t>
    </w:r>
    <w:fldSimple w:instr=" NUMPAGES  ">
      <w:r w:rsidR="0047095A">
        <w:rPr>
          <w:noProof/>
        </w:rPr>
        <w:t>3</w:t>
      </w:r>
    </w:fldSimple>
  </w:p>
  <w:p w:rsidR="000E0946" w:rsidRDefault="000E0946">
    <w:pPr>
      <w:pStyle w:val="Footer"/>
    </w:pPr>
  </w:p>
  <w:p w:rsidR="000E0946" w:rsidRDefault="000E094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095A" w:rsidRDefault="0047095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2081" w:rsidRDefault="00D82081" w:rsidP="0025457E">
      <w:pPr>
        <w:spacing w:after="0" w:line="240" w:lineRule="auto"/>
      </w:pPr>
      <w:r>
        <w:separator/>
      </w:r>
    </w:p>
  </w:footnote>
  <w:footnote w:type="continuationSeparator" w:id="0">
    <w:p w:rsidR="00D82081" w:rsidRDefault="00D82081" w:rsidP="0025457E">
      <w:pPr>
        <w:spacing w:after="0" w:line="240" w:lineRule="auto"/>
      </w:pPr>
      <w:r>
        <w:continuationSeparator/>
      </w:r>
    </w:p>
  </w:footnote>
  <w:footnote w:id="1">
    <w:p w:rsidR="00146ABC" w:rsidRDefault="000E0946" w:rsidP="002C5524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624502">
        <w:t>Understanding Television Set Usage:  “An investigation into average TV- set usage patterns in California”, prepared for Pacific Gas &amp; Electric, Nielsen, May 2012</w:t>
      </w:r>
    </w:p>
  </w:footnote>
  <w:footnote w:id="2">
    <w:p w:rsidR="00146ABC" w:rsidRDefault="000E0946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9E34FD">
        <w:t>Understanding Television Set Usage:  “An investigation into average TV- set usage patterns in California”, prepared for Pacific Gas &amp; Electric, Nielsen, May 2012</w:t>
      </w:r>
      <w:r>
        <w:t xml:space="preserve">, </w:t>
      </w:r>
    </w:p>
  </w:footnote>
  <w:footnote w:id="3">
    <w:p w:rsidR="00146ABC" w:rsidRDefault="000E0946" w:rsidP="001B64D1">
      <w:pPr>
        <w:pStyle w:val="FootnoteText"/>
      </w:pPr>
      <w:r>
        <w:rPr>
          <w:rStyle w:val="FootnoteReference"/>
        </w:rPr>
        <w:footnoteRef/>
      </w:r>
      <w:r>
        <w:t xml:space="preserve"> Impact Evaluation Report Business and Consumer Electronics Program (WO34) (DRAFT), KEMA, January 2013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095A" w:rsidRDefault="0047095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946" w:rsidRPr="007B4BBF" w:rsidRDefault="000E0946" w:rsidP="0025457E">
    <w:pPr>
      <w:pStyle w:val="Header"/>
      <w:rPr>
        <w:sz w:val="18"/>
        <w:szCs w:val="18"/>
      </w:rPr>
    </w:pPr>
    <w:r w:rsidRPr="007B4BBF">
      <w:rPr>
        <w:sz w:val="18"/>
        <w:szCs w:val="18"/>
      </w:rPr>
      <w:t xml:space="preserve">WORKPAPER DISPOSITION FOR </w:t>
    </w:r>
    <w:r>
      <w:rPr>
        <w:sz w:val="18"/>
        <w:szCs w:val="18"/>
      </w:rPr>
      <w:t>REFRIGERATOR AND FREEZER RECYCLING</w:t>
    </w:r>
  </w:p>
  <w:p w:rsidR="000E0946" w:rsidRDefault="000E0946">
    <w:pPr>
      <w:pStyle w:val="Header"/>
      <w:rPr>
        <w:sz w:val="18"/>
        <w:szCs w:val="18"/>
      </w:rPr>
    </w:pPr>
    <w:r w:rsidRPr="007B4BBF">
      <w:rPr>
        <w:sz w:val="18"/>
        <w:szCs w:val="18"/>
      </w:rPr>
      <w:t>California Public Utilities Commission, Energy Division</w:t>
    </w:r>
  </w:p>
  <w:p w:rsidR="000E0946" w:rsidRPr="00107C02" w:rsidRDefault="00EF37E6">
    <w:pPr>
      <w:pStyle w:val="Header"/>
      <w:rPr>
        <w:sz w:val="18"/>
        <w:szCs w:val="18"/>
      </w:rPr>
    </w:pPr>
    <w:r>
      <w:rPr>
        <w:sz w:val="18"/>
        <w:szCs w:val="18"/>
      </w:rPr>
      <w:t>March 1</w:t>
    </w:r>
    <w:r w:rsidR="000E0946">
      <w:rPr>
        <w:sz w:val="18"/>
        <w:szCs w:val="18"/>
      </w:rPr>
      <w:t>, 2013</w:t>
    </w:r>
  </w:p>
  <w:p w:rsidR="000E0946" w:rsidRDefault="000E0946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095A" w:rsidRDefault="0047095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B47F1"/>
    <w:multiLevelType w:val="hybridMultilevel"/>
    <w:tmpl w:val="7868AFF8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C28194A"/>
    <w:multiLevelType w:val="hybridMultilevel"/>
    <w:tmpl w:val="BCFEF0B0"/>
    <w:lvl w:ilvl="0" w:tplc="040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">
    <w:nsid w:val="139B4CD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2781397F"/>
    <w:multiLevelType w:val="hybridMultilevel"/>
    <w:tmpl w:val="F5BE3ED0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1570578"/>
    <w:multiLevelType w:val="hybridMultilevel"/>
    <w:tmpl w:val="D51661F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415B0C71"/>
    <w:multiLevelType w:val="hybridMultilevel"/>
    <w:tmpl w:val="E396B6D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5A6C25A1"/>
    <w:multiLevelType w:val="hybridMultilevel"/>
    <w:tmpl w:val="504E1290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69B181E"/>
    <w:multiLevelType w:val="hybridMultilevel"/>
    <w:tmpl w:val="DFD69EF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676B3205"/>
    <w:multiLevelType w:val="hybridMultilevel"/>
    <w:tmpl w:val="42B6CD88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6BD05411"/>
    <w:multiLevelType w:val="hybridMultilevel"/>
    <w:tmpl w:val="975AED16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E9174C9"/>
    <w:multiLevelType w:val="hybridMultilevel"/>
    <w:tmpl w:val="0E566ED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734436F9"/>
    <w:multiLevelType w:val="hybridMultilevel"/>
    <w:tmpl w:val="E8AA696E"/>
    <w:lvl w:ilvl="0" w:tplc="040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>
    <w:nsid w:val="76AF6968"/>
    <w:multiLevelType w:val="hybridMultilevel"/>
    <w:tmpl w:val="ACFCDEF8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FFD584F"/>
    <w:multiLevelType w:val="hybridMultilevel"/>
    <w:tmpl w:val="15A83C34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2"/>
  </w:num>
  <w:num w:numId="3">
    <w:abstractNumId w:val="5"/>
  </w:num>
  <w:num w:numId="4">
    <w:abstractNumId w:val="4"/>
  </w:num>
  <w:num w:numId="5">
    <w:abstractNumId w:val="11"/>
  </w:num>
  <w:num w:numId="6">
    <w:abstractNumId w:val="1"/>
  </w:num>
  <w:num w:numId="7">
    <w:abstractNumId w:val="13"/>
  </w:num>
  <w:num w:numId="8">
    <w:abstractNumId w:val="0"/>
  </w:num>
  <w:num w:numId="9">
    <w:abstractNumId w:val="9"/>
  </w:num>
  <w:num w:numId="10">
    <w:abstractNumId w:val="12"/>
  </w:num>
  <w:num w:numId="11">
    <w:abstractNumId w:val="3"/>
  </w:num>
  <w:num w:numId="12">
    <w:abstractNumId w:val="6"/>
  </w:num>
  <w:num w:numId="13">
    <w:abstractNumId w:val="7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removePersonalInformation/>
  <w:removeDateAndTime/>
  <w:trackRevisions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94019"/>
    <w:rsid w:val="00001271"/>
    <w:rsid w:val="0005226A"/>
    <w:rsid w:val="00063103"/>
    <w:rsid w:val="00065F55"/>
    <w:rsid w:val="00081C45"/>
    <w:rsid w:val="000B05ED"/>
    <w:rsid w:val="000B062D"/>
    <w:rsid w:val="000B7532"/>
    <w:rsid w:val="000C3508"/>
    <w:rsid w:val="000E0946"/>
    <w:rsid w:val="000E0EF8"/>
    <w:rsid w:val="000E4D1E"/>
    <w:rsid w:val="00107C02"/>
    <w:rsid w:val="00117089"/>
    <w:rsid w:val="00137918"/>
    <w:rsid w:val="001414AC"/>
    <w:rsid w:val="00146ABC"/>
    <w:rsid w:val="00170E4D"/>
    <w:rsid w:val="001B64D1"/>
    <w:rsid w:val="001D0C47"/>
    <w:rsid w:val="001D469D"/>
    <w:rsid w:val="001E7828"/>
    <w:rsid w:val="002156AD"/>
    <w:rsid w:val="00223828"/>
    <w:rsid w:val="00225055"/>
    <w:rsid w:val="0025457E"/>
    <w:rsid w:val="002614A5"/>
    <w:rsid w:val="002675A3"/>
    <w:rsid w:val="00274F32"/>
    <w:rsid w:val="00277CBE"/>
    <w:rsid w:val="002C5524"/>
    <w:rsid w:val="002D0E7D"/>
    <w:rsid w:val="002E6DBE"/>
    <w:rsid w:val="002F45CD"/>
    <w:rsid w:val="002F7B93"/>
    <w:rsid w:val="003221C5"/>
    <w:rsid w:val="00325F38"/>
    <w:rsid w:val="00327EBF"/>
    <w:rsid w:val="00331616"/>
    <w:rsid w:val="00350F59"/>
    <w:rsid w:val="00353686"/>
    <w:rsid w:val="003A04EE"/>
    <w:rsid w:val="003C79A4"/>
    <w:rsid w:val="003F34F0"/>
    <w:rsid w:val="00405FD0"/>
    <w:rsid w:val="00416BB9"/>
    <w:rsid w:val="00461D64"/>
    <w:rsid w:val="0047095A"/>
    <w:rsid w:val="004A37BB"/>
    <w:rsid w:val="004C2315"/>
    <w:rsid w:val="004D7A34"/>
    <w:rsid w:val="004F19F1"/>
    <w:rsid w:val="004F3E10"/>
    <w:rsid w:val="00510566"/>
    <w:rsid w:val="005169F4"/>
    <w:rsid w:val="005522C6"/>
    <w:rsid w:val="00554259"/>
    <w:rsid w:val="005B5AB5"/>
    <w:rsid w:val="005C4F21"/>
    <w:rsid w:val="005D4B8F"/>
    <w:rsid w:val="005E3AC7"/>
    <w:rsid w:val="00624502"/>
    <w:rsid w:val="00637C1B"/>
    <w:rsid w:val="006420CB"/>
    <w:rsid w:val="00656A56"/>
    <w:rsid w:val="00692B90"/>
    <w:rsid w:val="006A3158"/>
    <w:rsid w:val="006A7D70"/>
    <w:rsid w:val="006B0821"/>
    <w:rsid w:val="006B0E2B"/>
    <w:rsid w:val="006B2B4F"/>
    <w:rsid w:val="006D0161"/>
    <w:rsid w:val="006D25BE"/>
    <w:rsid w:val="006E2AD5"/>
    <w:rsid w:val="006E5E1D"/>
    <w:rsid w:val="00711EBC"/>
    <w:rsid w:val="007164C6"/>
    <w:rsid w:val="00721A99"/>
    <w:rsid w:val="0073301D"/>
    <w:rsid w:val="00755F94"/>
    <w:rsid w:val="00761DFD"/>
    <w:rsid w:val="00772A59"/>
    <w:rsid w:val="00776CB2"/>
    <w:rsid w:val="00777DA1"/>
    <w:rsid w:val="00794019"/>
    <w:rsid w:val="00796487"/>
    <w:rsid w:val="007B4BBF"/>
    <w:rsid w:val="007C6070"/>
    <w:rsid w:val="007D0A07"/>
    <w:rsid w:val="007E3478"/>
    <w:rsid w:val="007E73B5"/>
    <w:rsid w:val="007E7CD1"/>
    <w:rsid w:val="008033A9"/>
    <w:rsid w:val="00805835"/>
    <w:rsid w:val="008201EC"/>
    <w:rsid w:val="00827882"/>
    <w:rsid w:val="00872A4A"/>
    <w:rsid w:val="00896DB4"/>
    <w:rsid w:val="008D2B20"/>
    <w:rsid w:val="008E6B1C"/>
    <w:rsid w:val="008F167B"/>
    <w:rsid w:val="008F177F"/>
    <w:rsid w:val="00917A46"/>
    <w:rsid w:val="009434A5"/>
    <w:rsid w:val="00950D47"/>
    <w:rsid w:val="0096429F"/>
    <w:rsid w:val="00985924"/>
    <w:rsid w:val="009929D3"/>
    <w:rsid w:val="009C141F"/>
    <w:rsid w:val="009C1E63"/>
    <w:rsid w:val="009E34FD"/>
    <w:rsid w:val="00A07CD5"/>
    <w:rsid w:val="00A106D2"/>
    <w:rsid w:val="00A1601D"/>
    <w:rsid w:val="00A43172"/>
    <w:rsid w:val="00A54C9F"/>
    <w:rsid w:val="00A82A73"/>
    <w:rsid w:val="00A921C7"/>
    <w:rsid w:val="00AB19F8"/>
    <w:rsid w:val="00B14858"/>
    <w:rsid w:val="00B25BAC"/>
    <w:rsid w:val="00B512B1"/>
    <w:rsid w:val="00B54BF7"/>
    <w:rsid w:val="00B578DD"/>
    <w:rsid w:val="00B62C38"/>
    <w:rsid w:val="00B6572F"/>
    <w:rsid w:val="00B95D4D"/>
    <w:rsid w:val="00BB034C"/>
    <w:rsid w:val="00BB2FCA"/>
    <w:rsid w:val="00BB325F"/>
    <w:rsid w:val="00BB6B2D"/>
    <w:rsid w:val="00BD4680"/>
    <w:rsid w:val="00BE4ABD"/>
    <w:rsid w:val="00BE644F"/>
    <w:rsid w:val="00C327B1"/>
    <w:rsid w:val="00C55A40"/>
    <w:rsid w:val="00C70A1D"/>
    <w:rsid w:val="00C93B14"/>
    <w:rsid w:val="00CA4861"/>
    <w:rsid w:val="00CC6865"/>
    <w:rsid w:val="00CD744A"/>
    <w:rsid w:val="00CE231F"/>
    <w:rsid w:val="00CE359A"/>
    <w:rsid w:val="00CF55AA"/>
    <w:rsid w:val="00D12534"/>
    <w:rsid w:val="00D4363A"/>
    <w:rsid w:val="00D4624D"/>
    <w:rsid w:val="00D56F9B"/>
    <w:rsid w:val="00D82081"/>
    <w:rsid w:val="00D82901"/>
    <w:rsid w:val="00D82DD6"/>
    <w:rsid w:val="00DB4B22"/>
    <w:rsid w:val="00DD2871"/>
    <w:rsid w:val="00DF1A9E"/>
    <w:rsid w:val="00E01804"/>
    <w:rsid w:val="00E10613"/>
    <w:rsid w:val="00E313C4"/>
    <w:rsid w:val="00E534A2"/>
    <w:rsid w:val="00E82489"/>
    <w:rsid w:val="00E85652"/>
    <w:rsid w:val="00E86C08"/>
    <w:rsid w:val="00E9281A"/>
    <w:rsid w:val="00E954D6"/>
    <w:rsid w:val="00E95B84"/>
    <w:rsid w:val="00EF37E6"/>
    <w:rsid w:val="00EF4122"/>
    <w:rsid w:val="00F037FC"/>
    <w:rsid w:val="00F20BA4"/>
    <w:rsid w:val="00F2143C"/>
    <w:rsid w:val="00F52C82"/>
    <w:rsid w:val="00F7747B"/>
    <w:rsid w:val="00FC1D97"/>
    <w:rsid w:val="00FE1725"/>
    <w:rsid w:val="00FF18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4019"/>
    <w:rPr>
      <w:rFonts w:ascii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qFormat/>
    <w:rsid w:val="00794019"/>
    <w:pPr>
      <w:spacing w:line="240" w:lineRule="auto"/>
    </w:pPr>
    <w:rPr>
      <w:b/>
      <w:bCs/>
      <w:color w:val="4F81BD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545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25457E"/>
    <w:rPr>
      <w:rFonts w:ascii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2545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5457E"/>
    <w:rPr>
      <w:rFonts w:ascii="Calibri" w:hAnsi="Calibri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4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5457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156AD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796487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796487"/>
    <w:rPr>
      <w:rFonts w:ascii="Calibri" w:hAnsi="Calibri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6487"/>
    <w:rPr>
      <w:rFonts w:cs="Times New Roman"/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82489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locked/>
    <w:rsid w:val="00E82489"/>
    <w:rPr>
      <w:rFonts w:ascii="Calibri" w:hAnsi="Calibri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2489"/>
    <w:rPr>
      <w:rFonts w:cs="Times New Roman"/>
      <w:vertAlign w:val="superscript"/>
    </w:rPr>
  </w:style>
  <w:style w:type="character" w:styleId="Hyperlink">
    <w:name w:val="Hyperlink"/>
    <w:basedOn w:val="DefaultParagraphFont"/>
    <w:uiPriority w:val="99"/>
    <w:unhideWhenUsed/>
    <w:rsid w:val="001D0C47"/>
    <w:rPr>
      <w:rFonts w:cs="Times New Roman"/>
      <w:color w:val="0000FF" w:themeColor="hyperlink"/>
      <w:u w:val="single"/>
    </w:rPr>
  </w:style>
  <w:style w:type="paragraph" w:styleId="NoSpacing">
    <w:name w:val="No Spacing"/>
    <w:uiPriority w:val="1"/>
    <w:qFormat/>
    <w:rsid w:val="00F7747B"/>
    <w:pPr>
      <w:spacing w:after="0" w:line="240" w:lineRule="auto"/>
    </w:pPr>
    <w:rPr>
      <w:rFonts w:ascii="Calibri" w:hAnsi="Calibri" w:cs="Times New Roman"/>
    </w:rPr>
  </w:style>
  <w:style w:type="table" w:styleId="TableGrid">
    <w:name w:val="Table Grid"/>
    <w:basedOn w:val="TableNormal"/>
    <w:uiPriority w:val="59"/>
    <w:rsid w:val="007E7CD1"/>
    <w:pPr>
      <w:spacing w:after="0" w:line="240" w:lineRule="auto"/>
    </w:pPr>
    <w:rPr>
      <w:rFonts w:cstheme="minorBid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212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2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2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package" Target="embeddings/Microsoft_Excel_Worksheet11.xlsx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package" Target="embeddings/Microsoft_Excel_Worksheet22.xlsx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84ADDCC-6193-4A29-8287-487E911475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1275</Words>
  <Characters>7273</Characters>
  <Application>Microsoft Office Word</Application>
  <DocSecurity>0</DocSecurity>
  <Lines>60</Lines>
  <Paragraphs>17</Paragraphs>
  <ScaleCrop>false</ScaleCrop>
  <Company/>
  <LinksUpToDate>false</LinksUpToDate>
  <CharactersWithSpaces>8531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2013-03-05T01:20:00Z</dcterms:created>
  <dcterms:modified xsi:type="dcterms:W3CDTF">2013-03-05T01:20:00Z</dcterms:modified>
</cp:coreProperties>
</file>