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5E4" w:rsidRDefault="00C455E4" w:rsidP="00C455E4">
      <w:pPr>
        <w:pStyle w:val="Title"/>
      </w:pPr>
      <w:bookmarkStart w:id="0" w:name="_GoBack"/>
      <w:bookmarkEnd w:id="0"/>
      <w:r w:rsidRPr="00C455E4">
        <w:t xml:space="preserve">Disposition For Workpapers Covering Exterior </w:t>
      </w:r>
      <w:r w:rsidR="00C30FAF">
        <w:t xml:space="preserve">LED </w:t>
      </w:r>
      <w:r w:rsidRPr="00C455E4">
        <w:t>Lighting Fixtures</w:t>
      </w:r>
    </w:p>
    <w:p w:rsidR="00CD0872" w:rsidRPr="00257E69" w:rsidRDefault="00706AF0" w:rsidP="00EE2B37">
      <w:pPr>
        <w:pStyle w:val="Subtitle"/>
      </w:pPr>
      <w:r>
        <w:t xml:space="preserve">California Public Utilities </w:t>
      </w:r>
      <w:r w:rsidRPr="00EE2B37">
        <w:t>Commission</w:t>
      </w:r>
      <w:r>
        <w:t>, Energy Division</w:t>
      </w:r>
    </w:p>
    <w:p w:rsidR="00CD0872" w:rsidRPr="008C5E99" w:rsidRDefault="00C30FAF" w:rsidP="00EE2B37">
      <w:pPr>
        <w:pStyle w:val="DispositionDate"/>
        <w:rPr>
          <w:b/>
        </w:rPr>
      </w:pPr>
      <w:r>
        <w:t>March 1</w:t>
      </w:r>
      <w:r w:rsidR="00706AF0">
        <w:t>, 2017</w:t>
      </w:r>
    </w:p>
    <w:p w:rsidR="008504F1" w:rsidRDefault="008504F1">
      <w:pPr>
        <w:pStyle w:val="TOC1"/>
        <w:tabs>
          <w:tab w:val="right" w:leader="dot" w:pos="9350"/>
        </w:tabs>
      </w:pPr>
    </w:p>
    <w:p w:rsidR="008504F1" w:rsidRDefault="008504F1">
      <w:pPr>
        <w:pStyle w:val="TOC1"/>
        <w:tabs>
          <w:tab w:val="right" w:leader="dot" w:pos="9350"/>
        </w:tabs>
      </w:pPr>
    </w:p>
    <w:p w:rsidR="0074726D" w:rsidRDefault="00235ACC">
      <w:pPr>
        <w:pStyle w:val="TOC1"/>
        <w:tabs>
          <w:tab w:val="right" w:leader="dot" w:pos="9350"/>
        </w:tabs>
        <w:rPr>
          <w:rFonts w:asciiTheme="minorHAnsi" w:eastAsiaTheme="minorEastAsia" w:hAnsiTheme="minorHAnsi" w:cstheme="minorBidi"/>
          <w:noProof/>
        </w:rPr>
      </w:pPr>
      <w:r>
        <w:fldChar w:fldCharType="begin"/>
      </w:r>
      <w:r>
        <w:instrText xml:space="preserve"> TOC \o "1-2" \h \z \u </w:instrText>
      </w:r>
      <w:r>
        <w:fldChar w:fldCharType="separate"/>
      </w:r>
      <w:hyperlink w:anchor="_Toc476150545" w:history="1">
        <w:r w:rsidR="0074726D" w:rsidRPr="0050279C">
          <w:rPr>
            <w:rStyle w:val="Hyperlink"/>
            <w:noProof/>
          </w:rPr>
          <w:t>1. Review Scope</w:t>
        </w:r>
        <w:r w:rsidR="0074726D">
          <w:rPr>
            <w:noProof/>
            <w:webHidden/>
          </w:rPr>
          <w:tab/>
        </w:r>
        <w:r w:rsidR="0074726D">
          <w:rPr>
            <w:noProof/>
            <w:webHidden/>
          </w:rPr>
          <w:fldChar w:fldCharType="begin"/>
        </w:r>
        <w:r w:rsidR="0074726D">
          <w:rPr>
            <w:noProof/>
            <w:webHidden/>
          </w:rPr>
          <w:instrText xml:space="preserve"> PAGEREF _Toc476150545 \h </w:instrText>
        </w:r>
        <w:r w:rsidR="0074726D">
          <w:rPr>
            <w:noProof/>
            <w:webHidden/>
          </w:rPr>
        </w:r>
        <w:r w:rsidR="0074726D">
          <w:rPr>
            <w:noProof/>
            <w:webHidden/>
          </w:rPr>
          <w:fldChar w:fldCharType="separate"/>
        </w:r>
        <w:r w:rsidR="0074726D">
          <w:rPr>
            <w:noProof/>
            <w:webHidden/>
          </w:rPr>
          <w:t>2</w:t>
        </w:r>
        <w:r w:rsidR="0074726D">
          <w:rPr>
            <w:noProof/>
            <w:webHidden/>
          </w:rPr>
          <w:fldChar w:fldCharType="end"/>
        </w:r>
      </w:hyperlink>
    </w:p>
    <w:p w:rsidR="0074726D" w:rsidRDefault="00520B63">
      <w:pPr>
        <w:pStyle w:val="TOC1"/>
        <w:tabs>
          <w:tab w:val="right" w:leader="dot" w:pos="9350"/>
        </w:tabs>
        <w:rPr>
          <w:rFonts w:asciiTheme="minorHAnsi" w:eastAsiaTheme="minorEastAsia" w:hAnsiTheme="minorHAnsi" w:cstheme="minorBidi"/>
          <w:noProof/>
        </w:rPr>
      </w:pPr>
      <w:hyperlink w:anchor="_Toc476150546" w:history="1">
        <w:r w:rsidR="0074726D" w:rsidRPr="0050279C">
          <w:rPr>
            <w:rStyle w:val="Hyperlink"/>
            <w:noProof/>
          </w:rPr>
          <w:t>2. Critical Review Issues</w:t>
        </w:r>
        <w:r w:rsidR="0074726D">
          <w:rPr>
            <w:noProof/>
            <w:webHidden/>
          </w:rPr>
          <w:tab/>
        </w:r>
        <w:r w:rsidR="0074726D">
          <w:rPr>
            <w:noProof/>
            <w:webHidden/>
          </w:rPr>
          <w:fldChar w:fldCharType="begin"/>
        </w:r>
        <w:r w:rsidR="0074726D">
          <w:rPr>
            <w:noProof/>
            <w:webHidden/>
          </w:rPr>
          <w:instrText xml:space="preserve"> PAGEREF _Toc476150546 \h </w:instrText>
        </w:r>
        <w:r w:rsidR="0074726D">
          <w:rPr>
            <w:noProof/>
            <w:webHidden/>
          </w:rPr>
        </w:r>
        <w:r w:rsidR="0074726D">
          <w:rPr>
            <w:noProof/>
            <w:webHidden/>
          </w:rPr>
          <w:fldChar w:fldCharType="separate"/>
        </w:r>
        <w:r w:rsidR="0074726D">
          <w:rPr>
            <w:noProof/>
            <w:webHidden/>
          </w:rPr>
          <w:t>2</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47" w:history="1">
        <w:r w:rsidR="0074726D" w:rsidRPr="0050279C">
          <w:rPr>
            <w:rStyle w:val="Hyperlink"/>
            <w:noProof/>
          </w:rPr>
          <w:t>2.1. Clarify Measure Application Type</w:t>
        </w:r>
        <w:r w:rsidR="0074726D">
          <w:rPr>
            <w:noProof/>
            <w:webHidden/>
          </w:rPr>
          <w:tab/>
        </w:r>
        <w:r w:rsidR="0074726D">
          <w:rPr>
            <w:noProof/>
            <w:webHidden/>
          </w:rPr>
          <w:fldChar w:fldCharType="begin"/>
        </w:r>
        <w:r w:rsidR="0074726D">
          <w:rPr>
            <w:noProof/>
            <w:webHidden/>
          </w:rPr>
          <w:instrText xml:space="preserve"> PAGEREF _Toc476150547 \h </w:instrText>
        </w:r>
        <w:r w:rsidR="0074726D">
          <w:rPr>
            <w:noProof/>
            <w:webHidden/>
          </w:rPr>
        </w:r>
        <w:r w:rsidR="0074726D">
          <w:rPr>
            <w:noProof/>
            <w:webHidden/>
          </w:rPr>
          <w:fldChar w:fldCharType="separate"/>
        </w:r>
        <w:r w:rsidR="0074726D">
          <w:rPr>
            <w:noProof/>
            <w:webHidden/>
          </w:rPr>
          <w:t>2</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48" w:history="1">
        <w:r w:rsidR="0074726D" w:rsidRPr="0050279C">
          <w:rPr>
            <w:rStyle w:val="Hyperlink"/>
            <w:noProof/>
          </w:rPr>
          <w:t>2.2. Add standard practice baseline technologies to early retirement measures</w:t>
        </w:r>
        <w:r w:rsidR="0074726D">
          <w:rPr>
            <w:noProof/>
            <w:webHidden/>
          </w:rPr>
          <w:tab/>
        </w:r>
        <w:r w:rsidR="0074726D">
          <w:rPr>
            <w:noProof/>
            <w:webHidden/>
          </w:rPr>
          <w:fldChar w:fldCharType="begin"/>
        </w:r>
        <w:r w:rsidR="0074726D">
          <w:rPr>
            <w:noProof/>
            <w:webHidden/>
          </w:rPr>
          <w:instrText xml:space="preserve"> PAGEREF _Toc476150548 \h </w:instrText>
        </w:r>
        <w:r w:rsidR="0074726D">
          <w:rPr>
            <w:noProof/>
            <w:webHidden/>
          </w:rPr>
        </w:r>
        <w:r w:rsidR="0074726D">
          <w:rPr>
            <w:noProof/>
            <w:webHidden/>
          </w:rPr>
          <w:fldChar w:fldCharType="separate"/>
        </w:r>
        <w:r w:rsidR="0074726D">
          <w:rPr>
            <w:noProof/>
            <w:webHidden/>
          </w:rPr>
          <w:t>2</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49" w:history="1">
        <w:r w:rsidR="0074726D" w:rsidRPr="0050279C">
          <w:rPr>
            <w:rStyle w:val="Hyperlink"/>
            <w:noProof/>
          </w:rPr>
          <w:t>2.3. Consider Revisions Pursuant to Draft Resolution E4818</w:t>
        </w:r>
        <w:r w:rsidR="0074726D">
          <w:rPr>
            <w:noProof/>
            <w:webHidden/>
          </w:rPr>
          <w:tab/>
        </w:r>
        <w:r w:rsidR="0074726D">
          <w:rPr>
            <w:noProof/>
            <w:webHidden/>
          </w:rPr>
          <w:fldChar w:fldCharType="begin"/>
        </w:r>
        <w:r w:rsidR="0074726D">
          <w:rPr>
            <w:noProof/>
            <w:webHidden/>
          </w:rPr>
          <w:instrText xml:space="preserve"> PAGEREF _Toc476150549 \h </w:instrText>
        </w:r>
        <w:r w:rsidR="0074726D">
          <w:rPr>
            <w:noProof/>
            <w:webHidden/>
          </w:rPr>
        </w:r>
        <w:r w:rsidR="0074726D">
          <w:rPr>
            <w:noProof/>
            <w:webHidden/>
          </w:rPr>
          <w:fldChar w:fldCharType="separate"/>
        </w:r>
        <w:r w:rsidR="0074726D">
          <w:rPr>
            <w:noProof/>
            <w:webHidden/>
          </w:rPr>
          <w:t>3</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50" w:history="1">
        <w:r w:rsidR="0074726D" w:rsidRPr="0050279C">
          <w:rPr>
            <w:rStyle w:val="Hyperlink"/>
            <w:noProof/>
          </w:rPr>
          <w:t>2.4. Update impacts for early retirement measures to include first and second period savings</w:t>
        </w:r>
        <w:r w:rsidR="0074726D">
          <w:rPr>
            <w:noProof/>
            <w:webHidden/>
          </w:rPr>
          <w:tab/>
        </w:r>
        <w:r w:rsidR="0074726D">
          <w:rPr>
            <w:noProof/>
            <w:webHidden/>
          </w:rPr>
          <w:fldChar w:fldCharType="begin"/>
        </w:r>
        <w:r w:rsidR="0074726D">
          <w:rPr>
            <w:noProof/>
            <w:webHidden/>
          </w:rPr>
          <w:instrText xml:space="preserve"> PAGEREF _Toc476150550 \h </w:instrText>
        </w:r>
        <w:r w:rsidR="0074726D">
          <w:rPr>
            <w:noProof/>
            <w:webHidden/>
          </w:rPr>
        </w:r>
        <w:r w:rsidR="0074726D">
          <w:rPr>
            <w:noProof/>
            <w:webHidden/>
          </w:rPr>
          <w:fldChar w:fldCharType="separate"/>
        </w:r>
        <w:r w:rsidR="0074726D">
          <w:rPr>
            <w:noProof/>
            <w:webHidden/>
          </w:rPr>
          <w:t>3</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51" w:history="1">
        <w:r w:rsidR="0074726D" w:rsidRPr="0050279C">
          <w:rPr>
            <w:rStyle w:val="Hyperlink"/>
            <w:noProof/>
          </w:rPr>
          <w:t>2.5. Use Ex Ante Approved Annual Hours of Use (SCE17LG114 and SCE17LG120)</w:t>
        </w:r>
        <w:r w:rsidR="0074726D">
          <w:rPr>
            <w:noProof/>
            <w:webHidden/>
          </w:rPr>
          <w:tab/>
        </w:r>
        <w:r w:rsidR="0074726D">
          <w:rPr>
            <w:noProof/>
            <w:webHidden/>
          </w:rPr>
          <w:fldChar w:fldCharType="begin"/>
        </w:r>
        <w:r w:rsidR="0074726D">
          <w:rPr>
            <w:noProof/>
            <w:webHidden/>
          </w:rPr>
          <w:instrText xml:space="preserve"> PAGEREF _Toc476150551 \h </w:instrText>
        </w:r>
        <w:r w:rsidR="0074726D">
          <w:rPr>
            <w:noProof/>
            <w:webHidden/>
          </w:rPr>
        </w:r>
        <w:r w:rsidR="0074726D">
          <w:rPr>
            <w:noProof/>
            <w:webHidden/>
          </w:rPr>
          <w:fldChar w:fldCharType="separate"/>
        </w:r>
        <w:r w:rsidR="0074726D">
          <w:rPr>
            <w:noProof/>
            <w:webHidden/>
          </w:rPr>
          <w:t>3</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52" w:history="1">
        <w:r w:rsidR="0074726D" w:rsidRPr="0050279C">
          <w:rPr>
            <w:rStyle w:val="Hyperlink"/>
            <w:noProof/>
          </w:rPr>
          <w:t>2.6. Use Consistent Hours of Use Reductions for Both Workpapers (SCE17LG114 and SCE17LG120)</w:t>
        </w:r>
        <w:r w:rsidR="0074726D">
          <w:rPr>
            <w:noProof/>
            <w:webHidden/>
          </w:rPr>
          <w:tab/>
        </w:r>
        <w:r w:rsidR="0074726D">
          <w:rPr>
            <w:noProof/>
            <w:webHidden/>
          </w:rPr>
          <w:fldChar w:fldCharType="begin"/>
        </w:r>
        <w:r w:rsidR="0074726D">
          <w:rPr>
            <w:noProof/>
            <w:webHidden/>
          </w:rPr>
          <w:instrText xml:space="preserve"> PAGEREF _Toc476150552 \h </w:instrText>
        </w:r>
        <w:r w:rsidR="0074726D">
          <w:rPr>
            <w:noProof/>
            <w:webHidden/>
          </w:rPr>
        </w:r>
        <w:r w:rsidR="0074726D">
          <w:rPr>
            <w:noProof/>
            <w:webHidden/>
          </w:rPr>
          <w:fldChar w:fldCharType="separate"/>
        </w:r>
        <w:r w:rsidR="0074726D">
          <w:rPr>
            <w:noProof/>
            <w:webHidden/>
          </w:rPr>
          <w:t>3</w:t>
        </w:r>
        <w:r w:rsidR="0074726D">
          <w:rPr>
            <w:noProof/>
            <w:webHidden/>
          </w:rPr>
          <w:fldChar w:fldCharType="end"/>
        </w:r>
      </w:hyperlink>
    </w:p>
    <w:p w:rsidR="0074726D" w:rsidRDefault="00520B63">
      <w:pPr>
        <w:pStyle w:val="TOC1"/>
        <w:tabs>
          <w:tab w:val="right" w:leader="dot" w:pos="9350"/>
        </w:tabs>
        <w:rPr>
          <w:rFonts w:asciiTheme="minorHAnsi" w:eastAsiaTheme="minorEastAsia" w:hAnsiTheme="minorHAnsi" w:cstheme="minorBidi"/>
          <w:noProof/>
        </w:rPr>
      </w:pPr>
      <w:hyperlink w:anchor="_Toc476150553" w:history="1">
        <w:r w:rsidR="0074726D" w:rsidRPr="0050279C">
          <w:rPr>
            <w:rStyle w:val="Hyperlink"/>
            <w:noProof/>
          </w:rPr>
          <w:t>3. Detailed Review</w:t>
        </w:r>
        <w:r w:rsidR="0074726D">
          <w:rPr>
            <w:noProof/>
            <w:webHidden/>
          </w:rPr>
          <w:tab/>
        </w:r>
        <w:r w:rsidR="0074726D">
          <w:rPr>
            <w:noProof/>
            <w:webHidden/>
          </w:rPr>
          <w:fldChar w:fldCharType="begin"/>
        </w:r>
        <w:r w:rsidR="0074726D">
          <w:rPr>
            <w:noProof/>
            <w:webHidden/>
          </w:rPr>
          <w:instrText xml:space="preserve"> PAGEREF _Toc476150553 \h </w:instrText>
        </w:r>
        <w:r w:rsidR="0074726D">
          <w:rPr>
            <w:noProof/>
            <w:webHidden/>
          </w:rPr>
        </w:r>
        <w:r w:rsidR="0074726D">
          <w:rPr>
            <w:noProof/>
            <w:webHidden/>
          </w:rPr>
          <w:fldChar w:fldCharType="separate"/>
        </w:r>
        <w:r w:rsidR="0074726D">
          <w:rPr>
            <w:noProof/>
            <w:webHidden/>
          </w:rPr>
          <w:t>3</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54" w:history="1">
        <w:r w:rsidR="0074726D" w:rsidRPr="0050279C">
          <w:rPr>
            <w:rStyle w:val="Hyperlink"/>
            <w:noProof/>
          </w:rPr>
          <w:t>3.1. Clarify Measure Application Type</w:t>
        </w:r>
        <w:r w:rsidR="0074726D">
          <w:rPr>
            <w:noProof/>
            <w:webHidden/>
          </w:rPr>
          <w:tab/>
        </w:r>
        <w:r w:rsidR="0074726D">
          <w:rPr>
            <w:noProof/>
            <w:webHidden/>
          </w:rPr>
          <w:fldChar w:fldCharType="begin"/>
        </w:r>
        <w:r w:rsidR="0074726D">
          <w:rPr>
            <w:noProof/>
            <w:webHidden/>
          </w:rPr>
          <w:instrText xml:space="preserve"> PAGEREF _Toc476150554 \h </w:instrText>
        </w:r>
        <w:r w:rsidR="0074726D">
          <w:rPr>
            <w:noProof/>
            <w:webHidden/>
          </w:rPr>
        </w:r>
        <w:r w:rsidR="0074726D">
          <w:rPr>
            <w:noProof/>
            <w:webHidden/>
          </w:rPr>
          <w:fldChar w:fldCharType="separate"/>
        </w:r>
        <w:r w:rsidR="0074726D">
          <w:rPr>
            <w:noProof/>
            <w:webHidden/>
          </w:rPr>
          <w:t>3</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55" w:history="1">
        <w:r w:rsidR="0074726D" w:rsidRPr="0050279C">
          <w:rPr>
            <w:rStyle w:val="Hyperlink"/>
            <w:noProof/>
          </w:rPr>
          <w:t>3.2. Add standard practice baseline technologies to early retirement measures:</w:t>
        </w:r>
        <w:r w:rsidR="0074726D">
          <w:rPr>
            <w:noProof/>
            <w:webHidden/>
          </w:rPr>
          <w:tab/>
        </w:r>
        <w:r w:rsidR="0074726D">
          <w:rPr>
            <w:noProof/>
            <w:webHidden/>
          </w:rPr>
          <w:fldChar w:fldCharType="begin"/>
        </w:r>
        <w:r w:rsidR="0074726D">
          <w:rPr>
            <w:noProof/>
            <w:webHidden/>
          </w:rPr>
          <w:instrText xml:space="preserve"> PAGEREF _Toc476150555 \h </w:instrText>
        </w:r>
        <w:r w:rsidR="0074726D">
          <w:rPr>
            <w:noProof/>
            <w:webHidden/>
          </w:rPr>
        </w:r>
        <w:r w:rsidR="0074726D">
          <w:rPr>
            <w:noProof/>
            <w:webHidden/>
          </w:rPr>
          <w:fldChar w:fldCharType="separate"/>
        </w:r>
        <w:r w:rsidR="0074726D">
          <w:rPr>
            <w:noProof/>
            <w:webHidden/>
          </w:rPr>
          <w:t>3</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56" w:history="1">
        <w:r w:rsidR="0074726D" w:rsidRPr="0050279C">
          <w:rPr>
            <w:rStyle w:val="Hyperlink"/>
            <w:noProof/>
          </w:rPr>
          <w:t>3.3. Consider Revisions Pursuant to Draft Resolution E4818</w:t>
        </w:r>
        <w:r w:rsidR="0074726D">
          <w:rPr>
            <w:noProof/>
            <w:webHidden/>
          </w:rPr>
          <w:tab/>
        </w:r>
        <w:r w:rsidR="0074726D">
          <w:rPr>
            <w:noProof/>
            <w:webHidden/>
          </w:rPr>
          <w:fldChar w:fldCharType="begin"/>
        </w:r>
        <w:r w:rsidR="0074726D">
          <w:rPr>
            <w:noProof/>
            <w:webHidden/>
          </w:rPr>
          <w:instrText xml:space="preserve"> PAGEREF _Toc476150556 \h </w:instrText>
        </w:r>
        <w:r w:rsidR="0074726D">
          <w:rPr>
            <w:noProof/>
            <w:webHidden/>
          </w:rPr>
        </w:r>
        <w:r w:rsidR="0074726D">
          <w:rPr>
            <w:noProof/>
            <w:webHidden/>
          </w:rPr>
          <w:fldChar w:fldCharType="separate"/>
        </w:r>
        <w:r w:rsidR="0074726D">
          <w:rPr>
            <w:noProof/>
            <w:webHidden/>
          </w:rPr>
          <w:t>4</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57" w:history="1">
        <w:r w:rsidR="0074726D" w:rsidRPr="0050279C">
          <w:rPr>
            <w:rStyle w:val="Hyperlink"/>
            <w:noProof/>
          </w:rPr>
          <w:t>3.4. Update impacts for early retirement measures to include first and second period savings</w:t>
        </w:r>
        <w:r w:rsidR="0074726D">
          <w:rPr>
            <w:noProof/>
            <w:webHidden/>
          </w:rPr>
          <w:tab/>
        </w:r>
        <w:r w:rsidR="0074726D">
          <w:rPr>
            <w:noProof/>
            <w:webHidden/>
          </w:rPr>
          <w:fldChar w:fldCharType="begin"/>
        </w:r>
        <w:r w:rsidR="0074726D">
          <w:rPr>
            <w:noProof/>
            <w:webHidden/>
          </w:rPr>
          <w:instrText xml:space="preserve"> PAGEREF _Toc476150557 \h </w:instrText>
        </w:r>
        <w:r w:rsidR="0074726D">
          <w:rPr>
            <w:noProof/>
            <w:webHidden/>
          </w:rPr>
        </w:r>
        <w:r w:rsidR="0074726D">
          <w:rPr>
            <w:noProof/>
            <w:webHidden/>
          </w:rPr>
          <w:fldChar w:fldCharType="separate"/>
        </w:r>
        <w:r w:rsidR="0074726D">
          <w:rPr>
            <w:noProof/>
            <w:webHidden/>
          </w:rPr>
          <w:t>4</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58" w:history="1">
        <w:r w:rsidR="0074726D" w:rsidRPr="0050279C">
          <w:rPr>
            <w:rStyle w:val="Hyperlink"/>
            <w:noProof/>
          </w:rPr>
          <w:t>3.5. Revise workpaper and program criteria to reflect requirements for early retirement measures (SCE17LG114 and SCE17LG120)</w:t>
        </w:r>
        <w:r w:rsidR="0074726D">
          <w:rPr>
            <w:noProof/>
            <w:webHidden/>
          </w:rPr>
          <w:tab/>
        </w:r>
        <w:r w:rsidR="0074726D">
          <w:rPr>
            <w:noProof/>
            <w:webHidden/>
          </w:rPr>
          <w:fldChar w:fldCharType="begin"/>
        </w:r>
        <w:r w:rsidR="0074726D">
          <w:rPr>
            <w:noProof/>
            <w:webHidden/>
          </w:rPr>
          <w:instrText xml:space="preserve"> PAGEREF _Toc476150558 \h </w:instrText>
        </w:r>
        <w:r w:rsidR="0074726D">
          <w:rPr>
            <w:noProof/>
            <w:webHidden/>
          </w:rPr>
        </w:r>
        <w:r w:rsidR="0074726D">
          <w:rPr>
            <w:noProof/>
            <w:webHidden/>
          </w:rPr>
          <w:fldChar w:fldCharType="separate"/>
        </w:r>
        <w:r w:rsidR="0074726D">
          <w:rPr>
            <w:noProof/>
            <w:webHidden/>
          </w:rPr>
          <w:t>4</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59" w:history="1">
        <w:r w:rsidR="0074726D" w:rsidRPr="0050279C">
          <w:rPr>
            <w:rStyle w:val="Hyperlink"/>
            <w:noProof/>
          </w:rPr>
          <w:t>3.6. Use Ex Ante Approved Annual Hours of Use (SCE17LG114 and SCE17LG120)</w:t>
        </w:r>
        <w:r w:rsidR="0074726D">
          <w:rPr>
            <w:noProof/>
            <w:webHidden/>
          </w:rPr>
          <w:tab/>
        </w:r>
        <w:r w:rsidR="0074726D">
          <w:rPr>
            <w:noProof/>
            <w:webHidden/>
          </w:rPr>
          <w:fldChar w:fldCharType="begin"/>
        </w:r>
        <w:r w:rsidR="0074726D">
          <w:rPr>
            <w:noProof/>
            <w:webHidden/>
          </w:rPr>
          <w:instrText xml:space="preserve"> PAGEREF _Toc476150559 \h </w:instrText>
        </w:r>
        <w:r w:rsidR="0074726D">
          <w:rPr>
            <w:noProof/>
            <w:webHidden/>
          </w:rPr>
        </w:r>
        <w:r w:rsidR="0074726D">
          <w:rPr>
            <w:noProof/>
            <w:webHidden/>
          </w:rPr>
          <w:fldChar w:fldCharType="separate"/>
        </w:r>
        <w:r w:rsidR="0074726D">
          <w:rPr>
            <w:noProof/>
            <w:webHidden/>
          </w:rPr>
          <w:t>4</w:t>
        </w:r>
        <w:r w:rsidR="0074726D">
          <w:rPr>
            <w:noProof/>
            <w:webHidden/>
          </w:rPr>
          <w:fldChar w:fldCharType="end"/>
        </w:r>
      </w:hyperlink>
    </w:p>
    <w:p w:rsidR="0074726D" w:rsidRDefault="00520B63">
      <w:pPr>
        <w:pStyle w:val="TOC2"/>
        <w:tabs>
          <w:tab w:val="right" w:leader="dot" w:pos="9350"/>
        </w:tabs>
        <w:rPr>
          <w:rFonts w:asciiTheme="minorHAnsi" w:eastAsiaTheme="minorEastAsia" w:hAnsiTheme="minorHAnsi" w:cstheme="minorBidi"/>
          <w:noProof/>
        </w:rPr>
      </w:pPr>
      <w:hyperlink w:anchor="_Toc476150560" w:history="1">
        <w:r w:rsidR="0074726D" w:rsidRPr="0050279C">
          <w:rPr>
            <w:rStyle w:val="Hyperlink"/>
            <w:noProof/>
          </w:rPr>
          <w:t>3.7. Use Consistent Hours of Use Reductions for Both Workpapers</w:t>
        </w:r>
        <w:r w:rsidR="0074726D">
          <w:rPr>
            <w:noProof/>
            <w:webHidden/>
          </w:rPr>
          <w:tab/>
        </w:r>
        <w:r w:rsidR="0074726D">
          <w:rPr>
            <w:noProof/>
            <w:webHidden/>
          </w:rPr>
          <w:fldChar w:fldCharType="begin"/>
        </w:r>
        <w:r w:rsidR="0074726D">
          <w:rPr>
            <w:noProof/>
            <w:webHidden/>
          </w:rPr>
          <w:instrText xml:space="preserve"> PAGEREF _Toc476150560 \h </w:instrText>
        </w:r>
        <w:r w:rsidR="0074726D">
          <w:rPr>
            <w:noProof/>
            <w:webHidden/>
          </w:rPr>
        </w:r>
        <w:r w:rsidR="0074726D">
          <w:rPr>
            <w:noProof/>
            <w:webHidden/>
          </w:rPr>
          <w:fldChar w:fldCharType="separate"/>
        </w:r>
        <w:r w:rsidR="0074726D">
          <w:rPr>
            <w:noProof/>
            <w:webHidden/>
          </w:rPr>
          <w:t>5</w:t>
        </w:r>
        <w:r w:rsidR="0074726D">
          <w:rPr>
            <w:noProof/>
            <w:webHidden/>
          </w:rPr>
          <w:fldChar w:fldCharType="end"/>
        </w:r>
      </w:hyperlink>
    </w:p>
    <w:p w:rsidR="00235ACC" w:rsidRPr="008C7F61" w:rsidRDefault="00235ACC" w:rsidP="00235ACC">
      <w:r>
        <w:fldChar w:fldCharType="end"/>
      </w:r>
      <w:r w:rsidR="0072213E">
        <w:br w:type="page"/>
      </w:r>
    </w:p>
    <w:p w:rsidR="002A67E5" w:rsidRPr="00C46478" w:rsidRDefault="002A67E5" w:rsidP="005F0289">
      <w:pPr>
        <w:pStyle w:val="Heading1"/>
      </w:pPr>
      <w:bookmarkStart w:id="1" w:name="_Toc476150545"/>
      <w:r w:rsidRPr="00C46478">
        <w:lastRenderedPageBreak/>
        <w:t xml:space="preserve">Review </w:t>
      </w:r>
      <w:r w:rsidR="00E12E68" w:rsidRPr="00C46478">
        <w:t>Scope</w:t>
      </w:r>
      <w:bookmarkEnd w:id="1"/>
    </w:p>
    <w:p w:rsidR="00C26165" w:rsidRDefault="00317353" w:rsidP="00235ACC">
      <w:pPr>
        <w:pStyle w:val="Body1"/>
      </w:pPr>
      <w:r>
        <w:t xml:space="preserve">This disposition includes a detailed review of SCE’s workpapers SCE17LG114 and SCE17LG120, which cover exterior LED lighting fixtures equipped with motion sensing controls. However, there are overall issues related to Measure Application Type, standard practice baseline and the impacts of </w:t>
      </w:r>
      <w:r w:rsidR="000A6907">
        <w:t>R</w:t>
      </w:r>
      <w:r>
        <w:t>esolution E</w:t>
      </w:r>
      <w:r w:rsidR="000A6907">
        <w:t>-</w:t>
      </w:r>
      <w:r>
        <w:t xml:space="preserve">4818 that will affect ex ante savings values for several other workpapers. Refer to </w:t>
      </w:r>
      <w:r w:rsidR="00520B63">
        <w:fldChar w:fldCharType="begin"/>
      </w:r>
      <w:r w:rsidR="00520B63">
        <w:instrText xml:space="preserve"> REF _Ref324175084 </w:instrText>
      </w:r>
      <w:r w:rsidR="00520B63">
        <w:fldChar w:fldCharType="separate"/>
      </w:r>
      <w:r w:rsidRPr="00310BA9">
        <w:t xml:space="preserve">Table </w:t>
      </w:r>
      <w:r>
        <w:rPr>
          <w:noProof/>
        </w:rPr>
        <w:t>1</w:t>
      </w:r>
      <w:r w:rsidR="00520B63">
        <w:rPr>
          <w:noProof/>
        </w:rPr>
        <w:fldChar w:fldCharType="end"/>
      </w:r>
      <w:r>
        <w:t xml:space="preserve"> for a list of all workpapers covered by this disposition.</w:t>
      </w:r>
    </w:p>
    <w:p w:rsidR="00706AF0" w:rsidRPr="00310BA9" w:rsidRDefault="00706AF0" w:rsidP="00706AF0">
      <w:pPr>
        <w:pStyle w:val="Caption"/>
        <w:keepNext/>
      </w:pPr>
      <w:bookmarkStart w:id="2" w:name="_Ref324175084"/>
      <w:r w:rsidRPr="00310BA9">
        <w:t xml:space="preserve">Table </w:t>
      </w:r>
      <w:r w:rsidR="00520B63">
        <w:fldChar w:fldCharType="begin"/>
      </w:r>
      <w:r w:rsidR="00520B63">
        <w:instrText xml:space="preserve"> SEQ Table \* ARABIC </w:instrText>
      </w:r>
      <w:r w:rsidR="00520B63">
        <w:fldChar w:fldCharType="separate"/>
      </w:r>
      <w:r>
        <w:rPr>
          <w:noProof/>
        </w:rPr>
        <w:t>1</w:t>
      </w:r>
      <w:r w:rsidR="00520B63">
        <w:rPr>
          <w:noProof/>
        </w:rPr>
        <w:fldChar w:fldCharType="end"/>
      </w:r>
      <w:bookmarkEnd w:id="2"/>
      <w:r w:rsidRPr="00310BA9">
        <w:t xml:space="preserve"> </w:t>
      </w:r>
      <w:r>
        <w:t>–</w:t>
      </w:r>
      <w:r w:rsidRPr="00310BA9">
        <w:t xml:space="preserve"> </w:t>
      </w:r>
      <w:r>
        <w:t>Exterior Lighting Fixture Workpapers</w:t>
      </w:r>
    </w:p>
    <w:tbl>
      <w:tblPr>
        <w:tblW w:w="885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7"/>
        <w:gridCol w:w="588"/>
        <w:gridCol w:w="5043"/>
        <w:gridCol w:w="1278"/>
      </w:tblGrid>
      <w:tr w:rsidR="00706AF0" w:rsidRPr="008E6B1C" w:rsidTr="001439B6">
        <w:tc>
          <w:tcPr>
            <w:tcW w:w="1947" w:type="dxa"/>
          </w:tcPr>
          <w:p w:rsidR="00706AF0" w:rsidRDefault="00706AF0" w:rsidP="000423C4">
            <w:pPr>
              <w:keepNext/>
              <w:spacing w:after="0" w:line="240" w:lineRule="auto"/>
              <w:jc w:val="center"/>
              <w:rPr>
                <w:b/>
              </w:rPr>
            </w:pPr>
          </w:p>
          <w:p w:rsidR="00706AF0" w:rsidRDefault="00706AF0" w:rsidP="000423C4">
            <w:pPr>
              <w:keepNext/>
              <w:spacing w:after="0" w:line="240" w:lineRule="auto"/>
              <w:jc w:val="center"/>
              <w:rPr>
                <w:b/>
              </w:rPr>
            </w:pPr>
          </w:p>
          <w:p w:rsidR="00706AF0" w:rsidRPr="008E6B1C" w:rsidRDefault="00706AF0" w:rsidP="000423C4">
            <w:pPr>
              <w:keepNext/>
              <w:spacing w:after="0" w:line="240" w:lineRule="auto"/>
              <w:jc w:val="center"/>
              <w:rPr>
                <w:b/>
              </w:rPr>
            </w:pPr>
            <w:r w:rsidRPr="008E6B1C">
              <w:rPr>
                <w:b/>
              </w:rPr>
              <w:t>Workpaper ID</w:t>
            </w:r>
          </w:p>
        </w:tc>
        <w:tc>
          <w:tcPr>
            <w:tcW w:w="588" w:type="dxa"/>
          </w:tcPr>
          <w:p w:rsidR="00706AF0" w:rsidRDefault="00706AF0" w:rsidP="000423C4">
            <w:pPr>
              <w:keepNext/>
              <w:spacing w:after="0" w:line="240" w:lineRule="auto"/>
              <w:jc w:val="center"/>
              <w:rPr>
                <w:b/>
              </w:rPr>
            </w:pPr>
          </w:p>
          <w:p w:rsidR="00706AF0" w:rsidRDefault="00706AF0" w:rsidP="000423C4">
            <w:pPr>
              <w:keepNext/>
              <w:spacing w:after="0" w:line="240" w:lineRule="auto"/>
              <w:jc w:val="center"/>
              <w:rPr>
                <w:b/>
              </w:rPr>
            </w:pPr>
          </w:p>
          <w:p w:rsidR="00706AF0" w:rsidRPr="008E6B1C" w:rsidRDefault="00706AF0" w:rsidP="000423C4">
            <w:pPr>
              <w:keepNext/>
              <w:spacing w:after="0" w:line="240" w:lineRule="auto"/>
              <w:jc w:val="center"/>
              <w:rPr>
                <w:b/>
              </w:rPr>
            </w:pPr>
            <w:r>
              <w:rPr>
                <w:b/>
              </w:rPr>
              <w:t>Rev</w:t>
            </w:r>
          </w:p>
        </w:tc>
        <w:tc>
          <w:tcPr>
            <w:tcW w:w="5043" w:type="dxa"/>
          </w:tcPr>
          <w:p w:rsidR="00706AF0" w:rsidRDefault="00706AF0" w:rsidP="000423C4">
            <w:pPr>
              <w:keepNext/>
              <w:spacing w:after="0" w:line="240" w:lineRule="auto"/>
              <w:jc w:val="center"/>
              <w:rPr>
                <w:b/>
              </w:rPr>
            </w:pPr>
          </w:p>
          <w:p w:rsidR="00706AF0" w:rsidRDefault="00706AF0" w:rsidP="000423C4">
            <w:pPr>
              <w:keepNext/>
              <w:spacing w:after="0" w:line="240" w:lineRule="auto"/>
              <w:jc w:val="center"/>
              <w:rPr>
                <w:b/>
              </w:rPr>
            </w:pPr>
          </w:p>
          <w:p w:rsidR="00706AF0" w:rsidRPr="008E6B1C" w:rsidRDefault="00706AF0" w:rsidP="000423C4">
            <w:pPr>
              <w:keepNext/>
              <w:spacing w:after="0" w:line="240" w:lineRule="auto"/>
              <w:jc w:val="center"/>
              <w:rPr>
                <w:b/>
              </w:rPr>
            </w:pPr>
            <w:r w:rsidRPr="008E6B1C">
              <w:rPr>
                <w:b/>
              </w:rPr>
              <w:t>Workpaper Title</w:t>
            </w:r>
          </w:p>
        </w:tc>
        <w:tc>
          <w:tcPr>
            <w:tcW w:w="1278" w:type="dxa"/>
          </w:tcPr>
          <w:p w:rsidR="00706AF0" w:rsidRPr="008E6B1C" w:rsidRDefault="00706AF0" w:rsidP="000423C4">
            <w:pPr>
              <w:keepNext/>
              <w:spacing w:after="0" w:line="240" w:lineRule="auto"/>
              <w:jc w:val="center"/>
              <w:rPr>
                <w:b/>
              </w:rPr>
            </w:pPr>
            <w:r>
              <w:rPr>
                <w:b/>
              </w:rPr>
              <w:t>Official Submittal Date</w:t>
            </w:r>
          </w:p>
        </w:tc>
      </w:tr>
      <w:tr w:rsidR="00706AF0" w:rsidRPr="008E6B1C" w:rsidTr="001439B6">
        <w:tc>
          <w:tcPr>
            <w:tcW w:w="1947" w:type="dxa"/>
            <w:tcBorders>
              <w:right w:val="nil"/>
            </w:tcBorders>
            <w:shd w:val="clear" w:color="auto" w:fill="BFBFBF"/>
          </w:tcPr>
          <w:p w:rsidR="00706AF0" w:rsidRPr="008E6B1C" w:rsidRDefault="00706AF0" w:rsidP="000423C4">
            <w:pPr>
              <w:keepNext/>
              <w:spacing w:after="0" w:line="240" w:lineRule="auto"/>
              <w:rPr>
                <w:b/>
              </w:rPr>
            </w:pPr>
            <w:r w:rsidRPr="008E6B1C">
              <w:rPr>
                <w:b/>
              </w:rPr>
              <w:t>SCE</w:t>
            </w:r>
          </w:p>
        </w:tc>
        <w:tc>
          <w:tcPr>
            <w:tcW w:w="588" w:type="dxa"/>
            <w:tcBorders>
              <w:right w:val="nil"/>
            </w:tcBorders>
            <w:shd w:val="clear" w:color="auto" w:fill="BFBFBF"/>
          </w:tcPr>
          <w:p w:rsidR="00706AF0" w:rsidRPr="008E6B1C" w:rsidRDefault="00706AF0" w:rsidP="000423C4">
            <w:pPr>
              <w:keepNext/>
              <w:spacing w:after="0" w:line="240" w:lineRule="auto"/>
            </w:pPr>
          </w:p>
        </w:tc>
        <w:tc>
          <w:tcPr>
            <w:tcW w:w="5043" w:type="dxa"/>
            <w:tcBorders>
              <w:left w:val="nil"/>
              <w:right w:val="nil"/>
            </w:tcBorders>
            <w:shd w:val="clear" w:color="auto" w:fill="BFBFBF"/>
          </w:tcPr>
          <w:p w:rsidR="00706AF0" w:rsidRPr="008E6B1C" w:rsidRDefault="00706AF0" w:rsidP="000423C4">
            <w:pPr>
              <w:keepNext/>
              <w:spacing w:after="0" w:line="240" w:lineRule="auto"/>
            </w:pPr>
          </w:p>
        </w:tc>
        <w:tc>
          <w:tcPr>
            <w:tcW w:w="1278" w:type="dxa"/>
            <w:tcBorders>
              <w:left w:val="nil"/>
            </w:tcBorders>
            <w:shd w:val="clear" w:color="auto" w:fill="BFBFBF"/>
          </w:tcPr>
          <w:p w:rsidR="00706AF0" w:rsidRPr="008E6B1C" w:rsidRDefault="00706AF0" w:rsidP="000423C4">
            <w:pPr>
              <w:keepNext/>
              <w:spacing w:after="0" w:line="240" w:lineRule="auto"/>
            </w:pPr>
          </w:p>
        </w:tc>
      </w:tr>
      <w:tr w:rsidR="00706AF0" w:rsidRPr="008E6B1C" w:rsidTr="001439B6">
        <w:tc>
          <w:tcPr>
            <w:tcW w:w="1947" w:type="dxa"/>
          </w:tcPr>
          <w:p w:rsidR="00706AF0" w:rsidRPr="008E6B1C" w:rsidRDefault="00706AF0" w:rsidP="000423C4">
            <w:pPr>
              <w:keepNext/>
              <w:spacing w:after="0" w:line="240" w:lineRule="auto"/>
            </w:pPr>
            <w:r>
              <w:rPr>
                <w:rFonts w:cs="Calibri"/>
                <w:color w:val="000000"/>
                <w:sz w:val="23"/>
                <w:szCs w:val="23"/>
                <w:shd w:val="clear" w:color="auto" w:fill="FFFFFF"/>
              </w:rPr>
              <w:t>SCE17LG114</w:t>
            </w:r>
          </w:p>
        </w:tc>
        <w:tc>
          <w:tcPr>
            <w:tcW w:w="588" w:type="dxa"/>
          </w:tcPr>
          <w:p w:rsidR="00706AF0" w:rsidRPr="008E6B1C" w:rsidRDefault="00706AF0" w:rsidP="000423C4">
            <w:pPr>
              <w:keepNext/>
              <w:spacing w:after="0" w:line="240" w:lineRule="auto"/>
              <w:jc w:val="center"/>
            </w:pPr>
            <w:r>
              <w:t>0</w:t>
            </w:r>
          </w:p>
        </w:tc>
        <w:tc>
          <w:tcPr>
            <w:tcW w:w="5043" w:type="dxa"/>
          </w:tcPr>
          <w:p w:rsidR="00706AF0" w:rsidRPr="008E6B1C" w:rsidRDefault="00F45DF2" w:rsidP="000423C4">
            <w:pPr>
              <w:keepNext/>
              <w:spacing w:after="0" w:line="240" w:lineRule="auto"/>
            </w:pPr>
            <w:r>
              <w:rPr>
                <w:rFonts w:cs="Calibri"/>
                <w:color w:val="000000"/>
                <w:sz w:val="23"/>
                <w:szCs w:val="23"/>
                <w:shd w:val="clear" w:color="auto" w:fill="FFFFFF"/>
              </w:rPr>
              <w:t>Exterior LED Luminaire with Integrated Occupancy Sensor</w:t>
            </w:r>
          </w:p>
        </w:tc>
        <w:tc>
          <w:tcPr>
            <w:tcW w:w="1278" w:type="dxa"/>
          </w:tcPr>
          <w:p w:rsidR="00706AF0" w:rsidRPr="008E6B1C" w:rsidRDefault="00F45DF2" w:rsidP="000423C4">
            <w:pPr>
              <w:keepNext/>
              <w:spacing w:after="0" w:line="240" w:lineRule="auto"/>
              <w:jc w:val="right"/>
            </w:pPr>
            <w:r>
              <w:t>1/1/2017</w:t>
            </w:r>
          </w:p>
        </w:tc>
      </w:tr>
      <w:tr w:rsidR="00706AF0" w:rsidRPr="008E6B1C" w:rsidTr="001439B6">
        <w:tc>
          <w:tcPr>
            <w:tcW w:w="1947" w:type="dxa"/>
            <w:tcBorders>
              <w:bottom w:val="single" w:sz="4" w:space="0" w:color="auto"/>
            </w:tcBorders>
          </w:tcPr>
          <w:p w:rsidR="00706AF0" w:rsidRPr="008E6B1C" w:rsidRDefault="00F45DF2" w:rsidP="000423C4">
            <w:pPr>
              <w:keepNext/>
              <w:spacing w:after="0" w:line="240" w:lineRule="auto"/>
            </w:pPr>
            <w:r>
              <w:rPr>
                <w:rFonts w:cs="Calibri"/>
                <w:color w:val="000000"/>
                <w:sz w:val="23"/>
                <w:szCs w:val="23"/>
                <w:shd w:val="clear" w:color="auto" w:fill="FFFFFF"/>
              </w:rPr>
              <w:t>SCE17LG120</w:t>
            </w:r>
          </w:p>
        </w:tc>
        <w:tc>
          <w:tcPr>
            <w:tcW w:w="588" w:type="dxa"/>
          </w:tcPr>
          <w:p w:rsidR="00706AF0" w:rsidRPr="008E6B1C" w:rsidRDefault="00F45DF2" w:rsidP="000423C4">
            <w:pPr>
              <w:keepNext/>
              <w:spacing w:after="0" w:line="240" w:lineRule="auto"/>
              <w:jc w:val="center"/>
            </w:pPr>
            <w:r>
              <w:t>0</w:t>
            </w:r>
          </w:p>
        </w:tc>
        <w:tc>
          <w:tcPr>
            <w:tcW w:w="5043" w:type="dxa"/>
          </w:tcPr>
          <w:p w:rsidR="00706AF0" w:rsidRPr="008E6B1C" w:rsidRDefault="00F45DF2" w:rsidP="000423C4">
            <w:pPr>
              <w:keepNext/>
              <w:spacing w:after="0" w:line="240" w:lineRule="auto"/>
            </w:pPr>
            <w:r>
              <w:rPr>
                <w:rFonts w:cs="Calibri"/>
                <w:color w:val="000000"/>
                <w:sz w:val="23"/>
                <w:szCs w:val="23"/>
                <w:shd w:val="clear" w:color="auto" w:fill="FFFFFF"/>
              </w:rPr>
              <w:t>LED Exterior Light Fixture with Motion Sensor Between 15 to &lt;24 ft.</w:t>
            </w:r>
          </w:p>
        </w:tc>
        <w:tc>
          <w:tcPr>
            <w:tcW w:w="1278" w:type="dxa"/>
          </w:tcPr>
          <w:p w:rsidR="00706AF0" w:rsidRPr="008E6B1C" w:rsidRDefault="00F45DF2" w:rsidP="000423C4">
            <w:pPr>
              <w:keepNext/>
              <w:spacing w:after="0" w:line="240" w:lineRule="auto"/>
              <w:jc w:val="right"/>
            </w:pPr>
            <w:r>
              <w:t>1/1/2017</w:t>
            </w:r>
          </w:p>
        </w:tc>
      </w:tr>
      <w:tr w:rsidR="001439B6" w:rsidRPr="008E6B1C" w:rsidTr="00CD0573">
        <w:tc>
          <w:tcPr>
            <w:tcW w:w="8856" w:type="dxa"/>
            <w:gridSpan w:val="4"/>
            <w:shd w:val="clear" w:color="auto" w:fill="BFBFBF"/>
          </w:tcPr>
          <w:p w:rsidR="001439B6" w:rsidRPr="001439B6" w:rsidRDefault="001439B6" w:rsidP="001439B6">
            <w:pPr>
              <w:keepNext/>
              <w:spacing w:after="0" w:line="240" w:lineRule="auto"/>
              <w:jc w:val="center"/>
              <w:rPr>
                <w:b/>
              </w:rPr>
            </w:pPr>
            <w:r>
              <w:rPr>
                <w:b/>
              </w:rPr>
              <w:t>Other Workpapers Impacted by this Disposition</w:t>
            </w:r>
          </w:p>
        </w:tc>
      </w:tr>
      <w:tr w:rsidR="001439B6" w:rsidRPr="008E6B1C" w:rsidTr="001439B6">
        <w:tc>
          <w:tcPr>
            <w:tcW w:w="1947" w:type="dxa"/>
            <w:tcBorders>
              <w:right w:val="nil"/>
            </w:tcBorders>
            <w:shd w:val="clear" w:color="auto" w:fill="BFBFBF"/>
          </w:tcPr>
          <w:p w:rsidR="001439B6" w:rsidRPr="008E6B1C" w:rsidRDefault="001439B6" w:rsidP="004041C5">
            <w:pPr>
              <w:keepNext/>
              <w:spacing w:after="0" w:line="240" w:lineRule="auto"/>
              <w:rPr>
                <w:b/>
              </w:rPr>
            </w:pPr>
            <w:r w:rsidRPr="008E6B1C">
              <w:rPr>
                <w:b/>
              </w:rPr>
              <w:t>SCE</w:t>
            </w:r>
          </w:p>
        </w:tc>
        <w:tc>
          <w:tcPr>
            <w:tcW w:w="588" w:type="dxa"/>
            <w:tcBorders>
              <w:right w:val="nil"/>
            </w:tcBorders>
            <w:shd w:val="clear" w:color="auto" w:fill="BFBFBF"/>
          </w:tcPr>
          <w:p w:rsidR="001439B6" w:rsidRPr="008E6B1C" w:rsidRDefault="001439B6" w:rsidP="004041C5">
            <w:pPr>
              <w:keepNext/>
              <w:spacing w:after="0" w:line="240" w:lineRule="auto"/>
            </w:pPr>
          </w:p>
        </w:tc>
        <w:tc>
          <w:tcPr>
            <w:tcW w:w="5043" w:type="dxa"/>
            <w:tcBorders>
              <w:left w:val="nil"/>
              <w:right w:val="nil"/>
            </w:tcBorders>
            <w:shd w:val="clear" w:color="auto" w:fill="BFBFBF"/>
          </w:tcPr>
          <w:p w:rsidR="001439B6" w:rsidRPr="008E6B1C" w:rsidRDefault="001439B6" w:rsidP="004041C5">
            <w:pPr>
              <w:keepNext/>
              <w:spacing w:after="0" w:line="240" w:lineRule="auto"/>
            </w:pPr>
          </w:p>
        </w:tc>
        <w:tc>
          <w:tcPr>
            <w:tcW w:w="1278" w:type="dxa"/>
            <w:tcBorders>
              <w:left w:val="nil"/>
            </w:tcBorders>
            <w:shd w:val="clear" w:color="auto" w:fill="BFBFBF"/>
          </w:tcPr>
          <w:p w:rsidR="001439B6" w:rsidRPr="008E6B1C" w:rsidRDefault="001439B6" w:rsidP="004041C5">
            <w:pPr>
              <w:keepNext/>
              <w:spacing w:after="0" w:line="240" w:lineRule="auto"/>
            </w:pPr>
          </w:p>
        </w:tc>
      </w:tr>
      <w:tr w:rsidR="001439B6" w:rsidRPr="008E6B1C" w:rsidTr="001439B6">
        <w:tc>
          <w:tcPr>
            <w:tcW w:w="1947" w:type="dxa"/>
          </w:tcPr>
          <w:p w:rsidR="001439B6" w:rsidRDefault="001439B6" w:rsidP="000423C4">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SCE13LG097</w:t>
            </w:r>
          </w:p>
        </w:tc>
        <w:tc>
          <w:tcPr>
            <w:tcW w:w="588" w:type="dxa"/>
          </w:tcPr>
          <w:p w:rsidR="001439B6" w:rsidRDefault="001439B6" w:rsidP="000423C4">
            <w:pPr>
              <w:keepNext/>
              <w:spacing w:after="0" w:line="240" w:lineRule="auto"/>
              <w:jc w:val="center"/>
            </w:pPr>
            <w:r>
              <w:t>3</w:t>
            </w:r>
          </w:p>
        </w:tc>
        <w:tc>
          <w:tcPr>
            <w:tcW w:w="5043" w:type="dxa"/>
          </w:tcPr>
          <w:p w:rsidR="001439B6" w:rsidRDefault="001439B6" w:rsidP="000423C4">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LED Street Lighting</w:t>
            </w:r>
          </w:p>
        </w:tc>
        <w:tc>
          <w:tcPr>
            <w:tcW w:w="1278" w:type="dxa"/>
          </w:tcPr>
          <w:p w:rsidR="001439B6" w:rsidRDefault="001439B6" w:rsidP="000423C4">
            <w:pPr>
              <w:keepNext/>
              <w:spacing w:after="0" w:line="240" w:lineRule="auto"/>
              <w:jc w:val="right"/>
            </w:pPr>
            <w:r>
              <w:t>11/21/2016</w:t>
            </w:r>
          </w:p>
        </w:tc>
      </w:tr>
      <w:tr w:rsidR="001439B6" w:rsidRPr="008E6B1C" w:rsidTr="001439B6">
        <w:tc>
          <w:tcPr>
            <w:tcW w:w="1947" w:type="dxa"/>
            <w:tcBorders>
              <w:right w:val="nil"/>
            </w:tcBorders>
            <w:shd w:val="clear" w:color="auto" w:fill="BFBFBF"/>
          </w:tcPr>
          <w:p w:rsidR="001439B6" w:rsidRPr="008E6B1C" w:rsidRDefault="001439B6" w:rsidP="004041C5">
            <w:pPr>
              <w:keepNext/>
              <w:spacing w:after="0" w:line="240" w:lineRule="auto"/>
              <w:rPr>
                <w:b/>
              </w:rPr>
            </w:pPr>
            <w:r>
              <w:rPr>
                <w:b/>
              </w:rPr>
              <w:t>PG&amp;E</w:t>
            </w:r>
          </w:p>
        </w:tc>
        <w:tc>
          <w:tcPr>
            <w:tcW w:w="588" w:type="dxa"/>
            <w:tcBorders>
              <w:right w:val="nil"/>
            </w:tcBorders>
            <w:shd w:val="clear" w:color="auto" w:fill="BFBFBF"/>
          </w:tcPr>
          <w:p w:rsidR="001439B6" w:rsidRPr="008E6B1C" w:rsidRDefault="001439B6" w:rsidP="004041C5">
            <w:pPr>
              <w:keepNext/>
              <w:spacing w:after="0" w:line="240" w:lineRule="auto"/>
            </w:pPr>
          </w:p>
        </w:tc>
        <w:tc>
          <w:tcPr>
            <w:tcW w:w="5043" w:type="dxa"/>
            <w:tcBorders>
              <w:left w:val="nil"/>
              <w:right w:val="nil"/>
            </w:tcBorders>
            <w:shd w:val="clear" w:color="auto" w:fill="BFBFBF"/>
          </w:tcPr>
          <w:p w:rsidR="001439B6" w:rsidRPr="008E6B1C" w:rsidRDefault="001439B6" w:rsidP="004041C5">
            <w:pPr>
              <w:keepNext/>
              <w:spacing w:after="0" w:line="240" w:lineRule="auto"/>
            </w:pPr>
          </w:p>
        </w:tc>
        <w:tc>
          <w:tcPr>
            <w:tcW w:w="1278" w:type="dxa"/>
            <w:tcBorders>
              <w:left w:val="nil"/>
            </w:tcBorders>
            <w:shd w:val="clear" w:color="auto" w:fill="BFBFBF"/>
          </w:tcPr>
          <w:p w:rsidR="001439B6" w:rsidRPr="008E6B1C" w:rsidRDefault="001439B6" w:rsidP="004041C5">
            <w:pPr>
              <w:keepNext/>
              <w:spacing w:after="0" w:line="240" w:lineRule="auto"/>
            </w:pPr>
          </w:p>
        </w:tc>
      </w:tr>
      <w:tr w:rsidR="001439B6" w:rsidRPr="008E6B1C" w:rsidTr="001439B6">
        <w:tc>
          <w:tcPr>
            <w:tcW w:w="1947" w:type="dxa"/>
          </w:tcPr>
          <w:p w:rsidR="001439B6" w:rsidRDefault="001439B6" w:rsidP="000423C4">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PGECOLTG151</w:t>
            </w:r>
          </w:p>
        </w:tc>
        <w:tc>
          <w:tcPr>
            <w:tcW w:w="588" w:type="dxa"/>
          </w:tcPr>
          <w:p w:rsidR="001439B6" w:rsidRDefault="001439B6" w:rsidP="000423C4">
            <w:pPr>
              <w:keepNext/>
              <w:spacing w:after="0" w:line="240" w:lineRule="auto"/>
              <w:jc w:val="center"/>
            </w:pPr>
            <w:r>
              <w:t>6</w:t>
            </w:r>
          </w:p>
        </w:tc>
        <w:tc>
          <w:tcPr>
            <w:tcW w:w="5043" w:type="dxa"/>
          </w:tcPr>
          <w:p w:rsidR="001439B6" w:rsidRDefault="001439B6" w:rsidP="000423C4">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LED Outdoor Street and Area Lighting</w:t>
            </w:r>
          </w:p>
        </w:tc>
        <w:tc>
          <w:tcPr>
            <w:tcW w:w="1278" w:type="dxa"/>
          </w:tcPr>
          <w:p w:rsidR="001439B6" w:rsidRDefault="001439B6" w:rsidP="000423C4">
            <w:pPr>
              <w:keepNext/>
              <w:spacing w:after="0" w:line="240" w:lineRule="auto"/>
              <w:jc w:val="right"/>
            </w:pPr>
            <w:r>
              <w:t>8/1/2016</w:t>
            </w:r>
          </w:p>
        </w:tc>
      </w:tr>
      <w:tr w:rsidR="001439B6" w:rsidRPr="008E6B1C" w:rsidTr="001439B6">
        <w:tc>
          <w:tcPr>
            <w:tcW w:w="1947" w:type="dxa"/>
            <w:tcBorders>
              <w:right w:val="nil"/>
            </w:tcBorders>
            <w:shd w:val="clear" w:color="auto" w:fill="BFBFBF"/>
          </w:tcPr>
          <w:p w:rsidR="001439B6" w:rsidRPr="008E6B1C" w:rsidRDefault="001439B6" w:rsidP="004041C5">
            <w:pPr>
              <w:keepNext/>
              <w:spacing w:after="0" w:line="240" w:lineRule="auto"/>
              <w:rPr>
                <w:b/>
              </w:rPr>
            </w:pPr>
            <w:r>
              <w:rPr>
                <w:b/>
              </w:rPr>
              <w:t>SDG&amp;E</w:t>
            </w:r>
          </w:p>
        </w:tc>
        <w:tc>
          <w:tcPr>
            <w:tcW w:w="588" w:type="dxa"/>
            <w:tcBorders>
              <w:right w:val="nil"/>
            </w:tcBorders>
            <w:shd w:val="clear" w:color="auto" w:fill="BFBFBF"/>
          </w:tcPr>
          <w:p w:rsidR="001439B6" w:rsidRPr="008E6B1C" w:rsidRDefault="001439B6" w:rsidP="004041C5">
            <w:pPr>
              <w:keepNext/>
              <w:spacing w:after="0" w:line="240" w:lineRule="auto"/>
            </w:pPr>
          </w:p>
        </w:tc>
        <w:tc>
          <w:tcPr>
            <w:tcW w:w="5043" w:type="dxa"/>
            <w:tcBorders>
              <w:left w:val="nil"/>
              <w:right w:val="nil"/>
            </w:tcBorders>
            <w:shd w:val="clear" w:color="auto" w:fill="BFBFBF"/>
          </w:tcPr>
          <w:p w:rsidR="001439B6" w:rsidRPr="008E6B1C" w:rsidRDefault="001439B6" w:rsidP="004041C5">
            <w:pPr>
              <w:keepNext/>
              <w:spacing w:after="0" w:line="240" w:lineRule="auto"/>
            </w:pPr>
          </w:p>
        </w:tc>
        <w:tc>
          <w:tcPr>
            <w:tcW w:w="1278" w:type="dxa"/>
            <w:tcBorders>
              <w:left w:val="nil"/>
            </w:tcBorders>
            <w:shd w:val="clear" w:color="auto" w:fill="BFBFBF"/>
          </w:tcPr>
          <w:p w:rsidR="001439B6" w:rsidRPr="008E6B1C" w:rsidRDefault="001439B6" w:rsidP="004041C5">
            <w:pPr>
              <w:keepNext/>
              <w:spacing w:after="0" w:line="240" w:lineRule="auto"/>
            </w:pPr>
          </w:p>
        </w:tc>
      </w:tr>
      <w:tr w:rsidR="001439B6" w:rsidRPr="008E6B1C" w:rsidTr="001439B6">
        <w:tc>
          <w:tcPr>
            <w:tcW w:w="1947" w:type="dxa"/>
          </w:tcPr>
          <w:p w:rsidR="001439B6" w:rsidRDefault="001439B6" w:rsidP="000423C4">
            <w:pPr>
              <w:keepNext/>
              <w:spacing w:after="0" w:line="240" w:lineRule="auto"/>
              <w:rPr>
                <w:rFonts w:cs="Calibri"/>
                <w:color w:val="000000"/>
                <w:sz w:val="23"/>
                <w:szCs w:val="23"/>
                <w:shd w:val="clear" w:color="auto" w:fill="FFFFFF"/>
              </w:rPr>
            </w:pPr>
            <w:r w:rsidRPr="00FD0EED">
              <w:t>WPSDGENRLG0198</w:t>
            </w:r>
          </w:p>
        </w:tc>
        <w:tc>
          <w:tcPr>
            <w:tcW w:w="588" w:type="dxa"/>
          </w:tcPr>
          <w:p w:rsidR="001439B6" w:rsidRPr="00FD0EED" w:rsidRDefault="001439B6" w:rsidP="004041C5">
            <w:pPr>
              <w:spacing w:after="0"/>
              <w:jc w:val="center"/>
            </w:pPr>
            <w:r w:rsidRPr="00FD0EED">
              <w:t>0</w:t>
            </w:r>
          </w:p>
        </w:tc>
        <w:tc>
          <w:tcPr>
            <w:tcW w:w="5043" w:type="dxa"/>
          </w:tcPr>
          <w:p w:rsidR="001439B6" w:rsidRPr="00FD0EED" w:rsidRDefault="001439B6" w:rsidP="004041C5">
            <w:pPr>
              <w:spacing w:after="0"/>
            </w:pPr>
            <w:r w:rsidRPr="00FD0EED">
              <w:t>Exterior LED Sports &amp; Athletic Field Lighting Fixtures</w:t>
            </w:r>
          </w:p>
        </w:tc>
        <w:tc>
          <w:tcPr>
            <w:tcW w:w="1278" w:type="dxa"/>
          </w:tcPr>
          <w:p w:rsidR="001439B6" w:rsidRDefault="001439B6" w:rsidP="004041C5">
            <w:pPr>
              <w:spacing w:after="0"/>
              <w:jc w:val="right"/>
            </w:pPr>
            <w:r w:rsidRPr="00FD0EED">
              <w:t>9/15/2015</w:t>
            </w:r>
          </w:p>
        </w:tc>
      </w:tr>
      <w:tr w:rsidR="001439B6" w:rsidRPr="008E6B1C" w:rsidTr="001439B6">
        <w:tc>
          <w:tcPr>
            <w:tcW w:w="1947" w:type="dxa"/>
          </w:tcPr>
          <w:p w:rsidR="001439B6" w:rsidRDefault="001439B6" w:rsidP="000423C4">
            <w:pPr>
              <w:keepNext/>
              <w:spacing w:after="0" w:line="240" w:lineRule="auto"/>
              <w:rPr>
                <w:rFonts w:cs="Calibri"/>
                <w:color w:val="000000"/>
                <w:sz w:val="23"/>
                <w:szCs w:val="23"/>
                <w:shd w:val="clear" w:color="auto" w:fill="FFFFFF"/>
              </w:rPr>
            </w:pPr>
            <w:r>
              <w:rPr>
                <w:rFonts w:cs="Calibri"/>
                <w:color w:val="000000"/>
              </w:rPr>
              <w:t>WPSDGENRLG0181</w:t>
            </w:r>
          </w:p>
        </w:tc>
        <w:tc>
          <w:tcPr>
            <w:tcW w:w="588" w:type="dxa"/>
            <w:vAlign w:val="bottom"/>
          </w:tcPr>
          <w:p w:rsidR="001439B6" w:rsidRDefault="001439B6" w:rsidP="004041C5">
            <w:pPr>
              <w:spacing w:after="0"/>
              <w:jc w:val="center"/>
              <w:rPr>
                <w:rFonts w:cs="Calibri"/>
                <w:color w:val="000000"/>
              </w:rPr>
            </w:pPr>
            <w:r>
              <w:rPr>
                <w:rFonts w:cs="Calibri"/>
                <w:color w:val="000000"/>
              </w:rPr>
              <w:t>3</w:t>
            </w:r>
          </w:p>
        </w:tc>
        <w:tc>
          <w:tcPr>
            <w:tcW w:w="5043" w:type="dxa"/>
            <w:vAlign w:val="bottom"/>
          </w:tcPr>
          <w:p w:rsidR="001439B6" w:rsidRDefault="001439B6" w:rsidP="004041C5">
            <w:pPr>
              <w:spacing w:after="0"/>
              <w:rPr>
                <w:rFonts w:cs="Calibri"/>
                <w:color w:val="000000"/>
              </w:rPr>
            </w:pPr>
            <w:r>
              <w:rPr>
                <w:rFonts w:cs="Calibri"/>
                <w:color w:val="000000"/>
              </w:rPr>
              <w:t>Exterior LED Lighting Outdoor Street and Area</w:t>
            </w:r>
          </w:p>
        </w:tc>
        <w:tc>
          <w:tcPr>
            <w:tcW w:w="1278" w:type="dxa"/>
            <w:vAlign w:val="bottom"/>
          </w:tcPr>
          <w:p w:rsidR="001439B6" w:rsidRDefault="001439B6" w:rsidP="004041C5">
            <w:pPr>
              <w:spacing w:after="0"/>
              <w:jc w:val="right"/>
              <w:rPr>
                <w:rFonts w:cs="Calibri"/>
                <w:color w:val="000000"/>
              </w:rPr>
            </w:pPr>
            <w:r>
              <w:rPr>
                <w:rFonts w:cs="Calibri"/>
                <w:color w:val="000000"/>
              </w:rPr>
              <w:t>7/2/2015</w:t>
            </w:r>
          </w:p>
        </w:tc>
      </w:tr>
    </w:tbl>
    <w:p w:rsidR="00706AF0" w:rsidRPr="00C26165" w:rsidRDefault="00706AF0" w:rsidP="00235ACC">
      <w:pPr>
        <w:pStyle w:val="Body1"/>
      </w:pPr>
    </w:p>
    <w:p w:rsidR="00154E04" w:rsidRDefault="00154E04" w:rsidP="002E2F58">
      <w:pPr>
        <w:pStyle w:val="Heading1"/>
      </w:pPr>
      <w:bookmarkStart w:id="3" w:name="_Toc476150546"/>
      <w:r>
        <w:t>Critical Review Issues</w:t>
      </w:r>
      <w:bookmarkEnd w:id="3"/>
    </w:p>
    <w:p w:rsidR="00946AE9" w:rsidRDefault="00946AE9" w:rsidP="00946AE9">
      <w:pPr>
        <w:pStyle w:val="Heading2"/>
      </w:pPr>
      <w:bookmarkStart w:id="4" w:name="_Toc476150547"/>
      <w:r>
        <w:t>Clarify Measure Application Type</w:t>
      </w:r>
      <w:bookmarkEnd w:id="4"/>
    </w:p>
    <w:p w:rsidR="00946AE9" w:rsidRDefault="00D54F4C" w:rsidP="007F1F9C">
      <w:pPr>
        <w:pStyle w:val="Body2"/>
      </w:pPr>
      <w:r>
        <w:t>The measures all have normal replacement (</w:t>
      </w:r>
      <w:r w:rsidR="00001830">
        <w:t xml:space="preserve">NR, also referred to as replace-on-burnout, </w:t>
      </w:r>
      <w:r>
        <w:t>ROB) measure application type</w:t>
      </w:r>
      <w:r w:rsidR="00001830">
        <w:t xml:space="preserve">, but allow different performance </w:t>
      </w:r>
      <w:r w:rsidR="0074726D">
        <w:t xml:space="preserve">for technologies that represent </w:t>
      </w:r>
      <w:r w:rsidR="00001830">
        <w:t>pre-existing baselines</w:t>
      </w:r>
      <w:r>
        <w:t>.</w:t>
      </w:r>
      <w:r w:rsidR="0074726D">
        <w:t xml:space="preserve"> The use of pre-existing technology baselines</w:t>
      </w:r>
      <w:r w:rsidR="00001830">
        <w:t xml:space="preserve"> implies the measures are early retirement</w:t>
      </w:r>
      <w:r>
        <w:t xml:space="preserve"> </w:t>
      </w:r>
      <w:r w:rsidR="00001830">
        <w:t>(ER) instead of NR. If measures are intended to be NR, revise all measures to have savings above a standard practice baseline. If measures are ER, include additional program information to support an earlier retirement claim and include a second period savings calculated above a standard practice baseline.</w:t>
      </w:r>
      <w:r w:rsidR="00317353">
        <w:t xml:space="preserve"> Workpapers shall be updated to consider the recent DEER update establishing LED technologies as the standard practice baseline.</w:t>
      </w:r>
    </w:p>
    <w:p w:rsidR="00C4783D" w:rsidRDefault="00C4783D" w:rsidP="00C4783D">
      <w:pPr>
        <w:pStyle w:val="Heading2"/>
      </w:pPr>
      <w:bookmarkStart w:id="5" w:name="_Toc476150548"/>
      <w:r w:rsidRPr="00C4783D">
        <w:t>Add standard practice baseline technologies to early retirement measures</w:t>
      </w:r>
      <w:bookmarkEnd w:id="5"/>
    </w:p>
    <w:p w:rsidR="00C4783D" w:rsidRPr="00C4783D" w:rsidRDefault="00C4783D" w:rsidP="00C4783D">
      <w:pPr>
        <w:pStyle w:val="Body2"/>
      </w:pPr>
      <w:r>
        <w:t xml:space="preserve">Early retirement measures must be defined </w:t>
      </w:r>
      <w:r w:rsidR="000A6907">
        <w:t>using</w:t>
      </w:r>
      <w:r>
        <w:t xml:space="preserve"> both pre-existing and standard practice baseline technology descriptions.</w:t>
      </w:r>
    </w:p>
    <w:p w:rsidR="00317353" w:rsidRDefault="00317353" w:rsidP="00317353">
      <w:pPr>
        <w:pStyle w:val="Heading2"/>
      </w:pPr>
      <w:bookmarkStart w:id="6" w:name="_Toc476150549"/>
      <w:r w:rsidRPr="00317353">
        <w:lastRenderedPageBreak/>
        <w:t>Consider Revisions Pursuant to Draft Resolution E</w:t>
      </w:r>
      <w:r w:rsidR="0074726D">
        <w:t>-</w:t>
      </w:r>
      <w:r w:rsidRPr="00317353">
        <w:t>4818</w:t>
      </w:r>
      <w:bookmarkEnd w:id="6"/>
    </w:p>
    <w:p w:rsidR="00317353" w:rsidRDefault="000A6907" w:rsidP="00317353">
      <w:pPr>
        <w:pStyle w:val="Body2"/>
      </w:pPr>
      <w:r>
        <w:t>R</w:t>
      </w:r>
      <w:r w:rsidR="00317353">
        <w:t>esolution E</w:t>
      </w:r>
      <w:r>
        <w:t>-</w:t>
      </w:r>
      <w:r w:rsidR="00317353">
        <w:t>4818 establishes certain measure groups as eligible for deemed early retirement status. Workpapers for these measures must include procedures for determin</w:t>
      </w:r>
      <w:r>
        <w:t xml:space="preserve">ing a preponderance of evidence </w:t>
      </w:r>
      <w:r w:rsidR="00317353">
        <w:t>that the PAs’ programs influenced the early retirement.</w:t>
      </w:r>
    </w:p>
    <w:p w:rsidR="00C4783D" w:rsidRDefault="00C4783D" w:rsidP="00C4783D">
      <w:pPr>
        <w:pStyle w:val="Heading2"/>
      </w:pPr>
      <w:bookmarkStart w:id="7" w:name="_Toc476150550"/>
      <w:r w:rsidRPr="00C4783D">
        <w:t>Update impacts for early retirement measures to include first and second period savings</w:t>
      </w:r>
      <w:bookmarkEnd w:id="7"/>
    </w:p>
    <w:p w:rsidR="00C4783D" w:rsidRPr="00C4783D" w:rsidRDefault="00C4783D" w:rsidP="00C4783D">
      <w:pPr>
        <w:pStyle w:val="Body2"/>
      </w:pPr>
      <w:r>
        <w:t>All early retirement measures are required to include above pre-existing and above standard practice impacts.</w:t>
      </w:r>
    </w:p>
    <w:p w:rsidR="00580CC6" w:rsidRDefault="00F45DF2" w:rsidP="00C4783D">
      <w:pPr>
        <w:pStyle w:val="Heading2"/>
      </w:pPr>
      <w:bookmarkStart w:id="8" w:name="_Toc476150551"/>
      <w:r>
        <w:t xml:space="preserve">Use </w:t>
      </w:r>
      <w:r w:rsidR="00710277">
        <w:t>Ex Ante Approved</w:t>
      </w:r>
      <w:r>
        <w:t xml:space="preserve"> Annual Hours of Use</w:t>
      </w:r>
      <w:r w:rsidR="00C4783D">
        <w:t xml:space="preserve"> (</w:t>
      </w:r>
      <w:r w:rsidR="00C4783D" w:rsidRPr="00C4783D">
        <w:t>SCE17LG114 and SCE17LG120</w:t>
      </w:r>
      <w:r w:rsidR="00C4783D">
        <w:t>)</w:t>
      </w:r>
      <w:bookmarkEnd w:id="8"/>
    </w:p>
    <w:p w:rsidR="00D90F79" w:rsidRPr="00D90F79" w:rsidRDefault="00D90F79" w:rsidP="007F1F9C">
      <w:pPr>
        <w:pStyle w:val="Body2"/>
      </w:pPr>
      <w:r w:rsidRPr="00D90F79">
        <w:t xml:space="preserve">Proposed savings calculations assume a base operating hours of 4,380 per year. Revise using 4,100 hours per year, which is the approved </w:t>
      </w:r>
      <w:r w:rsidR="00710277">
        <w:t>ex ante</w:t>
      </w:r>
      <w:r w:rsidRPr="00D90F79">
        <w:t xml:space="preserve"> value.</w:t>
      </w:r>
    </w:p>
    <w:p w:rsidR="00235ACC" w:rsidRDefault="00F45DF2" w:rsidP="007121DC">
      <w:pPr>
        <w:pStyle w:val="Heading2"/>
      </w:pPr>
      <w:bookmarkStart w:id="9" w:name="_Toc476150552"/>
      <w:r>
        <w:t>Use Consistent Hours of Use Reductions for Both Workpapers</w:t>
      </w:r>
      <w:r w:rsidR="00C4783D">
        <w:t xml:space="preserve"> (</w:t>
      </w:r>
      <w:r w:rsidR="00C4783D" w:rsidRPr="00C4783D">
        <w:t>SCE17LG114 and SCE17LG120</w:t>
      </w:r>
      <w:r w:rsidR="00C4783D">
        <w:t>)</w:t>
      </w:r>
      <w:bookmarkEnd w:id="9"/>
    </w:p>
    <w:p w:rsidR="004923B6" w:rsidRPr="004923B6" w:rsidRDefault="00C15238" w:rsidP="007F1F9C">
      <w:pPr>
        <w:pStyle w:val="Body2"/>
      </w:pPr>
      <w:r>
        <w:t>Each workpaper uses different assumptions for the reduction in operating hours due to the integrated motion sensors. Revise so that both workpapers use the same assumptions.</w:t>
      </w:r>
      <w:r w:rsidR="004923B6" w:rsidRPr="00377271">
        <w:t xml:space="preserve"> </w:t>
      </w:r>
    </w:p>
    <w:p w:rsidR="00E12E68" w:rsidRDefault="00154E04" w:rsidP="002E2F58">
      <w:pPr>
        <w:pStyle w:val="Heading1"/>
      </w:pPr>
      <w:bookmarkStart w:id="10" w:name="_Toc476150553"/>
      <w:r>
        <w:t>Detailed Review</w:t>
      </w:r>
      <w:bookmarkEnd w:id="10"/>
    </w:p>
    <w:p w:rsidR="00580CC6" w:rsidRDefault="009A76C9" w:rsidP="007121DC">
      <w:pPr>
        <w:pStyle w:val="Heading2"/>
      </w:pPr>
      <w:bookmarkStart w:id="11" w:name="_Toc476150554"/>
      <w:r>
        <w:t>Clarify Measure Application Type</w:t>
      </w:r>
      <w:bookmarkEnd w:id="11"/>
    </w:p>
    <w:p w:rsidR="00706DC3" w:rsidRDefault="00D90F79" w:rsidP="007F1F9C">
      <w:pPr>
        <w:pStyle w:val="Body2"/>
      </w:pPr>
      <w:r>
        <w:t xml:space="preserve">Measures in both workpapers are specified as having normal replacement (NR, also referred to as replace-on-burnout, ROB) measure application type. However all measures are defined with a specific pre-existing technology either pulse start metal halide (PSMH) or high pressure sodium (HPS). Knowledge of the specific pre-existing technology implies </w:t>
      </w:r>
      <w:r w:rsidR="009C58D2">
        <w:t xml:space="preserve">that measures are </w:t>
      </w:r>
      <w:r>
        <w:t>early retirement</w:t>
      </w:r>
      <w:r w:rsidR="009C58D2">
        <w:t xml:space="preserve">, not NR/ROB. </w:t>
      </w:r>
      <w:r w:rsidR="008F3CE2">
        <w:t>As directed in the overall lighting disposition issued for the 2013-2014 program cycle, early retirement measures are only allowed in certain direct install programs that include protocols for identifying pre-existing technologies and all necessary conditions for early retirement claims.</w:t>
      </w:r>
      <w:r w:rsidR="0074726D">
        <w:t xml:space="preserve"> Resolution E-4818 allow</w:t>
      </w:r>
      <w:r w:rsidR="000A6907">
        <w:t>s</w:t>
      </w:r>
      <w:r w:rsidR="0074726D">
        <w:t xml:space="preserve"> added use of ER in deemed activities when </w:t>
      </w:r>
      <w:r w:rsidR="000A6907">
        <w:t xml:space="preserve">the </w:t>
      </w:r>
      <w:r w:rsidR="0074726D">
        <w:t>preponderance of evidence (PoE) requirements are met; resubmission of workpaper</w:t>
      </w:r>
      <w:r w:rsidR="000A6907">
        <w:t>s</w:t>
      </w:r>
      <w:r w:rsidR="0074726D">
        <w:t xml:space="preserve"> to include ER must follow the PoE requirements.</w:t>
      </w:r>
    </w:p>
    <w:p w:rsidR="007F0135" w:rsidRPr="007F0135" w:rsidRDefault="008F3CE2" w:rsidP="00C4783D">
      <w:pPr>
        <w:pStyle w:val="Heading2"/>
      </w:pPr>
      <w:bookmarkStart w:id="12" w:name="_Ref474339076"/>
      <w:bookmarkStart w:id="13" w:name="_Toc476150555"/>
      <w:r>
        <w:t>Add standard practice baseline technologies</w:t>
      </w:r>
      <w:r w:rsidR="00710277">
        <w:t xml:space="preserve"> to early retirement measures</w:t>
      </w:r>
      <w:r w:rsidR="000B56D4">
        <w:t>:</w:t>
      </w:r>
      <w:bookmarkEnd w:id="12"/>
      <w:bookmarkEnd w:id="13"/>
      <w:r w:rsidR="000B56D4">
        <w:t xml:space="preserve"> </w:t>
      </w:r>
    </w:p>
    <w:p w:rsidR="007F0135" w:rsidRDefault="002008A9" w:rsidP="00C4783D">
      <w:pPr>
        <w:pStyle w:val="Body2"/>
      </w:pPr>
      <w:r>
        <w:t>Early retirement measures require both a pre-existing and standard practice baseline</w:t>
      </w:r>
      <w:r w:rsidR="000B56D4">
        <w:t>.</w:t>
      </w:r>
      <w:r>
        <w:t xml:space="preserve"> Add standard practice baselines to all submitted measure definitions</w:t>
      </w:r>
      <w:r w:rsidR="007F0135">
        <w:t xml:space="preserve"> and revise energy impacts accordingly. Since the DEER code baseline for exterior lighting is defined as PSMH with equivalent performance as the measure technology, the submitted measures defined with PSMH pre-existing technologies are acceptable at this time. For the measures defined with HPS pre-existing technologies, add PSMH second baseline technologies that have equivalent performance as the measure technologies.</w:t>
      </w:r>
    </w:p>
    <w:p w:rsidR="001439B6" w:rsidRDefault="001439B6" w:rsidP="00C4783D">
      <w:pPr>
        <w:pStyle w:val="Body2"/>
      </w:pPr>
      <w:r>
        <w:t xml:space="preserve">The DEER2018 update defines the standard practice for exterior lighting measures to be LED technologies. This does not mean that all LED measures should be removed from programs. Instead, PAs should perform research on LED products intended to differentiate between various performance </w:t>
      </w:r>
      <w:r>
        <w:lastRenderedPageBreak/>
        <w:t>levels of LED products, with the objective of identifying the highest performing LED products to include in their programs.</w:t>
      </w:r>
    </w:p>
    <w:p w:rsidR="00756958" w:rsidRDefault="00756958" w:rsidP="00C4783D">
      <w:pPr>
        <w:pStyle w:val="Heading2"/>
      </w:pPr>
      <w:bookmarkStart w:id="14" w:name="_Toc476150556"/>
      <w:r>
        <w:t>Consider Revisions Pursuant to Draft Resolution E4818</w:t>
      </w:r>
      <w:bookmarkEnd w:id="14"/>
    </w:p>
    <w:p w:rsidR="00C4783D" w:rsidRDefault="00756958" w:rsidP="00C4783D">
      <w:pPr>
        <w:pStyle w:val="Body2"/>
      </w:pPr>
      <w:r>
        <w:t xml:space="preserve">Exterior lighting measures are likely covered under the draft resolution E4818 as deemed early retirement measures. Deemed early retirement measures must include, in workpapers, simplified methods for establishing the preponderance of evidence that the PAs’ programs influenced the early retirement. CPUC staff emphasizes that it considers LEDs a standard practice technology for exterior lighting applications, which means any early retirement measure that installs standard practice technology would only be assigned savings for the RUL, not the full EUL. Savings through the EUL period would only be assigned for the highest performing LED products as discussed in Section </w:t>
      </w:r>
      <w:r w:rsidR="00520B63">
        <w:fldChar w:fldCharType="begin"/>
      </w:r>
      <w:r w:rsidR="00520B63">
        <w:instrText xml:space="preserve"> REF _Ref474339076 \r </w:instrText>
      </w:r>
      <w:r w:rsidR="00520B63">
        <w:fldChar w:fldCharType="separate"/>
      </w:r>
      <w:r>
        <w:t>3.1.1</w:t>
      </w:r>
      <w:r w:rsidR="00520B63">
        <w:fldChar w:fldCharType="end"/>
      </w:r>
      <w:r>
        <w:t>, above. Revisions to workpapers to that add early retirement measures pursuant to E4818 shall include at least the following:</w:t>
      </w:r>
    </w:p>
    <w:p w:rsidR="00C4783D" w:rsidRDefault="00C4783D" w:rsidP="00C4783D">
      <w:pPr>
        <w:pStyle w:val="Body2"/>
        <w:numPr>
          <w:ilvl w:val="0"/>
          <w:numId w:val="31"/>
        </w:numPr>
        <w:spacing w:after="0"/>
      </w:pPr>
      <w:r>
        <w:t>Procedures for establishing preponderance of evidence of early retirement along with development of updated NTG values that take into account freeridership above the existing conditions baseline</w:t>
      </w:r>
      <w:r w:rsidR="0074726D">
        <w:t xml:space="preserve"> to the standard practice baseline</w:t>
      </w:r>
      <w:r>
        <w:t>.</w:t>
      </w:r>
    </w:p>
    <w:p w:rsidR="00C4783D" w:rsidRDefault="00C4783D" w:rsidP="00C4783D">
      <w:pPr>
        <w:pStyle w:val="Body2"/>
        <w:numPr>
          <w:ilvl w:val="0"/>
          <w:numId w:val="31"/>
        </w:numPr>
        <w:spacing w:after="0"/>
      </w:pPr>
      <w:r>
        <w:t>Standard practice baseline that represents the typical types of LED fixtures that would be installed absent the programs.</w:t>
      </w:r>
    </w:p>
    <w:p w:rsidR="00C4783D" w:rsidRDefault="00C4783D" w:rsidP="00C4783D">
      <w:pPr>
        <w:pStyle w:val="Body2"/>
        <w:numPr>
          <w:ilvl w:val="0"/>
          <w:numId w:val="31"/>
        </w:numPr>
      </w:pPr>
      <w:r>
        <w:t>Measure defini</w:t>
      </w:r>
      <w:r w:rsidR="000A6907">
        <w:t>tions that represent the higher</w:t>
      </w:r>
      <w:r>
        <w:t xml:space="preserve"> performing LED fixtures </w:t>
      </w:r>
      <w:r w:rsidR="000A6907">
        <w:t>that exceed the performance of the standard practice baseline established per above description</w:t>
      </w:r>
      <w:r>
        <w:t>.</w:t>
      </w:r>
    </w:p>
    <w:p w:rsidR="00706DC3" w:rsidRDefault="00CD0C07" w:rsidP="00C4783D">
      <w:pPr>
        <w:pStyle w:val="Heading2"/>
      </w:pPr>
      <w:bookmarkStart w:id="15" w:name="_Toc476150557"/>
      <w:r>
        <w:t xml:space="preserve">Update impacts </w:t>
      </w:r>
      <w:r w:rsidR="00CC4468">
        <w:t>for early retirement measures to include first and second period savings</w:t>
      </w:r>
      <w:bookmarkEnd w:id="15"/>
    </w:p>
    <w:p w:rsidR="00CD0C07" w:rsidRPr="00CD0C07" w:rsidRDefault="00141A44" w:rsidP="00C4783D">
      <w:pPr>
        <w:pStyle w:val="Body2"/>
      </w:pPr>
      <w:r>
        <w:t xml:space="preserve">Update impacts for early retirement measures to include savings for the second period that are calculated above the code baseline established </w:t>
      </w:r>
      <w:r w:rsidR="0074726D">
        <w:t>per</w:t>
      </w:r>
      <w:r>
        <w:t xml:space="preserve"> </w:t>
      </w:r>
      <w:r w:rsidR="00520B63">
        <w:fldChar w:fldCharType="begin"/>
      </w:r>
      <w:r w:rsidR="00520B63">
        <w:instrText xml:space="preserve"> REF _Ref47433907</w:instrText>
      </w:r>
      <w:r w:rsidR="00520B63">
        <w:instrText xml:space="preserve">6 \r </w:instrText>
      </w:r>
      <w:r w:rsidR="00520B63">
        <w:fldChar w:fldCharType="separate"/>
      </w:r>
      <w:r>
        <w:t>3.1.1</w:t>
      </w:r>
      <w:r w:rsidR="00520B63">
        <w:fldChar w:fldCharType="end"/>
      </w:r>
      <w:r>
        <w:t xml:space="preserve"> above.</w:t>
      </w:r>
    </w:p>
    <w:p w:rsidR="00D85716" w:rsidRDefault="00CC4468" w:rsidP="00C4783D">
      <w:pPr>
        <w:pStyle w:val="Heading2"/>
      </w:pPr>
      <w:bookmarkStart w:id="16" w:name="_Toc476150558"/>
      <w:r>
        <w:t>Revise workpaper and program criteria to reflect requirements for early retirement measures</w:t>
      </w:r>
      <w:r w:rsidR="004B1C6A">
        <w:t xml:space="preserve"> (</w:t>
      </w:r>
      <w:r w:rsidR="004B1C6A" w:rsidRPr="00C4783D">
        <w:t>SCE17LG114 and SCE17LG120</w:t>
      </w:r>
      <w:r w:rsidR="004B1C6A">
        <w:t>)</w:t>
      </w:r>
      <w:bookmarkEnd w:id="16"/>
    </w:p>
    <w:p w:rsidR="00710277" w:rsidRPr="00710277" w:rsidRDefault="00CC4468" w:rsidP="00C4783D">
      <w:pPr>
        <w:pStyle w:val="Body2"/>
      </w:pPr>
      <w:r>
        <w:t xml:space="preserve">Consistent with lighting dispositions issued for the 2013-2014 program cycle, </w:t>
      </w:r>
      <w:r w:rsidRPr="00287492">
        <w:t xml:space="preserve">deemed measures can only be claimed as ER by direct install </w:t>
      </w:r>
      <w:r w:rsidR="0074726D">
        <w:t xml:space="preserve">or other </w:t>
      </w:r>
      <w:r w:rsidRPr="00287492">
        <w:t xml:space="preserve">programs in cases where the adopted ER </w:t>
      </w:r>
      <w:r w:rsidR="0074726D">
        <w:t>PoE</w:t>
      </w:r>
      <w:r w:rsidRPr="00287492">
        <w:t xml:space="preserve"> and documentation of pre-existing equipment requirements have been met. For downstream applications, IOUs shall submit, in workpapers for staff review and approval, research and documentation that supports the claim of early retirement in downstream rebate applications</w:t>
      </w:r>
      <w:r>
        <w:rPr>
          <w:rStyle w:val="FootnoteReference"/>
        </w:rPr>
        <w:footnoteReference w:id="1"/>
      </w:r>
      <w:r w:rsidRPr="00287492">
        <w:rPr>
          <w:vertAlign w:val="superscript"/>
        </w:rPr>
        <w:t>,</w:t>
      </w:r>
      <w:r>
        <w:rPr>
          <w:rStyle w:val="FootnoteReference"/>
        </w:rPr>
        <w:footnoteReference w:id="2"/>
      </w:r>
      <w:r>
        <w:t>.</w:t>
      </w:r>
      <w:r w:rsidR="00710277">
        <w:t xml:space="preserve"> </w:t>
      </w:r>
    </w:p>
    <w:p w:rsidR="00154E04" w:rsidRPr="001C2764" w:rsidRDefault="00710277" w:rsidP="007121DC">
      <w:pPr>
        <w:pStyle w:val="Heading2"/>
      </w:pPr>
      <w:bookmarkStart w:id="17" w:name="_Ref474339813"/>
      <w:bookmarkStart w:id="18" w:name="_Toc476150559"/>
      <w:r>
        <w:t>Use Ex Ante Approved Annual Hours of Use</w:t>
      </w:r>
      <w:bookmarkEnd w:id="17"/>
      <w:r w:rsidR="004B1C6A">
        <w:t xml:space="preserve"> (</w:t>
      </w:r>
      <w:r w:rsidR="004B1C6A" w:rsidRPr="00C4783D">
        <w:t>SCE17LG114 and SCE17LG120</w:t>
      </w:r>
      <w:r w:rsidR="004B1C6A">
        <w:t>)</w:t>
      </w:r>
      <w:bookmarkEnd w:id="18"/>
    </w:p>
    <w:p w:rsidR="00154E04" w:rsidRDefault="00710277" w:rsidP="007F1F9C">
      <w:pPr>
        <w:pStyle w:val="Body2"/>
      </w:pPr>
      <w:r w:rsidRPr="00710277">
        <w:t xml:space="preserve">Savings are calculated using a basis of 4,380 operating hours per year. Revise all calculations to start with a basis of 4,100 operating hours which is the ex ante approved value. The value of 4,380 was part </w:t>
      </w:r>
      <w:r w:rsidRPr="00710277">
        <w:lastRenderedPageBreak/>
        <w:t>of an interim approval of a single third party workpaper submitted by PG&amp;E for the 2013-2014 program cycle. CPUC staff waived review of this workpaper, granting it interim approval. The operating hours of 4,380 were added to the ex ante database so that EULs for the interim approved measures could be properly documented in the database. However, CPUC staff never intended for this value to be used in other workpapers.</w:t>
      </w:r>
    </w:p>
    <w:p w:rsidR="004D4B7D" w:rsidRPr="001C2764" w:rsidRDefault="00710277" w:rsidP="00710277">
      <w:pPr>
        <w:pStyle w:val="Heading2"/>
      </w:pPr>
      <w:bookmarkStart w:id="19" w:name="_Toc476150560"/>
      <w:r w:rsidRPr="00710277">
        <w:t>Use Consistent Hours of Use Reductions for Both Workpapers</w:t>
      </w:r>
      <w:bookmarkEnd w:id="19"/>
    </w:p>
    <w:p w:rsidR="00B26946" w:rsidRDefault="00141A44" w:rsidP="007F1F9C">
      <w:pPr>
        <w:pStyle w:val="Body2"/>
      </w:pPr>
      <w:r>
        <w:t>Each workpaper uses a different method to calculate the operating hours of lighting fixtures equipped with motion sensors as described below:</w:t>
      </w:r>
    </w:p>
    <w:p w:rsidR="00141A44" w:rsidRPr="007F1F9C" w:rsidRDefault="00141A44" w:rsidP="007F1F9C">
      <w:pPr>
        <w:pStyle w:val="Body2"/>
        <w:contextualSpacing/>
      </w:pPr>
      <w:r w:rsidRPr="007F1F9C">
        <w:t>SCE17LG114:</w:t>
      </w:r>
    </w:p>
    <w:p w:rsidR="00141A44" w:rsidRDefault="00141A44" w:rsidP="007F1F9C">
      <w:pPr>
        <w:pStyle w:val="Body2"/>
        <w:contextualSpacing/>
      </w:pPr>
      <w:r>
        <w:t>Basis operating hours: 4,380</w:t>
      </w:r>
    </w:p>
    <w:p w:rsidR="00141A44" w:rsidRDefault="00141A44" w:rsidP="007F1F9C">
      <w:pPr>
        <w:pStyle w:val="Body2"/>
        <w:contextualSpacing/>
      </w:pPr>
      <w:r>
        <w:t>Operating hours with controls: 4,380/2 + 4,380/2 * 0.35 = 2.956.5</w:t>
      </w:r>
    </w:p>
    <w:p w:rsidR="00141A44" w:rsidRDefault="007F1F9C" w:rsidP="007F1F9C">
      <w:pPr>
        <w:pStyle w:val="Body2"/>
      </w:pPr>
      <w:r>
        <w:t xml:space="preserve">Using </w:t>
      </w:r>
      <w:r w:rsidR="00141A44">
        <w:t xml:space="preserve">correct </w:t>
      </w:r>
      <w:r>
        <w:t xml:space="preserve">basis operating hours per </w:t>
      </w:r>
      <w:r w:rsidR="00520B63">
        <w:fldChar w:fldCharType="begin"/>
      </w:r>
      <w:r w:rsidR="00520B63">
        <w:instrText xml:space="preserve"> REF _Ref474339813 \r </w:instrText>
      </w:r>
      <w:r w:rsidR="00520B63">
        <w:fldChar w:fldCharType="separate"/>
      </w:r>
      <w:r>
        <w:t>3.2</w:t>
      </w:r>
      <w:r w:rsidR="00520B63">
        <w:fldChar w:fldCharType="end"/>
      </w:r>
      <w:r>
        <w:t xml:space="preserve"> above</w:t>
      </w:r>
      <w:r w:rsidR="00141A44">
        <w:t>: 4,100/2 + 4,100/2 * 0.35 = 2,767.5</w:t>
      </w:r>
    </w:p>
    <w:p w:rsidR="00141A44" w:rsidRDefault="00141A44" w:rsidP="007F1F9C">
      <w:pPr>
        <w:pStyle w:val="Body2"/>
        <w:contextualSpacing/>
      </w:pPr>
      <w:r>
        <w:t>SCE17LG120:</w:t>
      </w:r>
    </w:p>
    <w:p w:rsidR="00141A44" w:rsidRDefault="007F1F9C" w:rsidP="007F1F9C">
      <w:pPr>
        <w:pStyle w:val="Body2"/>
        <w:contextualSpacing/>
      </w:pPr>
      <w:r>
        <w:t>Basis operating hours: 4,380</w:t>
      </w:r>
    </w:p>
    <w:p w:rsidR="007F1F9C" w:rsidRDefault="007F1F9C" w:rsidP="007F1F9C">
      <w:pPr>
        <w:pStyle w:val="Body2"/>
        <w:contextualSpacing/>
      </w:pPr>
      <w:r>
        <w:t>Operating hours with controls: 4,380 * 0.85 = 3,723</w:t>
      </w:r>
    </w:p>
    <w:p w:rsidR="007F1F9C" w:rsidRDefault="007F1F9C" w:rsidP="007F1F9C">
      <w:pPr>
        <w:pStyle w:val="Body2"/>
      </w:pPr>
      <w:r>
        <w:t xml:space="preserve">Using correct basis operating hours per </w:t>
      </w:r>
      <w:r w:rsidR="00520B63">
        <w:fldChar w:fldCharType="begin"/>
      </w:r>
      <w:r w:rsidR="00520B63">
        <w:instrText xml:space="preserve"> REF _Ref474339813 \r </w:instrText>
      </w:r>
      <w:r w:rsidR="00520B63">
        <w:fldChar w:fldCharType="separate"/>
      </w:r>
      <w:r>
        <w:t>3.2</w:t>
      </w:r>
      <w:r w:rsidR="00520B63">
        <w:fldChar w:fldCharType="end"/>
      </w:r>
      <w:r>
        <w:t xml:space="preserve"> above:  4,100 * 0.85 = 3,485</w:t>
      </w:r>
    </w:p>
    <w:p w:rsidR="007F1F9C" w:rsidRDefault="007F1F9C" w:rsidP="007F1F9C">
      <w:pPr>
        <w:pStyle w:val="Body2"/>
      </w:pPr>
      <w:r>
        <w:t xml:space="preserve">SCE17LG114 covers lighting fixtures that are not required by Title 24 to include motion sensors. Therefore a large portion of the savings results from reduced hours of use in addition to the lower fixture power. SCE17LG120 covers lighting fixtures that are required by Title 24 to include motions sensors. In this case the only savings results from the reduced fixture power and larger hours of use result in more savings. CPUC staff directs SCE to use only one method for calculating operating hours for fixtures equipped with motions sensors and to apply that method in both workpapers. </w:t>
      </w:r>
      <w:r w:rsidR="008C5E99">
        <w:t>Revise impacts for both workpap</w:t>
      </w:r>
      <w:r w:rsidR="00BC5F21">
        <w:t>ers to incorporate 4,100 annual</w:t>
      </w:r>
      <w:r w:rsidR="008C5E99">
        <w:t xml:space="preserve"> basis operating hours as well as a single, uniform method to account for reduced operating hours due to motion sensors. </w:t>
      </w:r>
    </w:p>
    <w:p w:rsidR="008C5E99" w:rsidRDefault="008C5E99" w:rsidP="007F1F9C">
      <w:pPr>
        <w:pStyle w:val="Body2"/>
      </w:pPr>
    </w:p>
    <w:sectPr w:rsidR="008C5E99" w:rsidSect="00F21AF4">
      <w:headerReference w:type="default" r:id="rId8"/>
      <w:footerReference w:type="default" r:id="rId9"/>
      <w:footerReference w:type="first" r:id="rId10"/>
      <w:pgSz w:w="12240" w:h="15840" w:code="1"/>
      <w:pgMar w:top="16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B63" w:rsidRDefault="00520B63" w:rsidP="000E70A1">
      <w:pPr>
        <w:spacing w:after="0" w:line="240" w:lineRule="auto"/>
      </w:pPr>
      <w:r>
        <w:separator/>
      </w:r>
    </w:p>
  </w:endnote>
  <w:endnote w:type="continuationSeparator" w:id="0">
    <w:p w:rsidR="00520B63" w:rsidRDefault="00520B63"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D56" w:rsidRPr="007B4BBF" w:rsidRDefault="00B75D56" w:rsidP="00C0532D">
    <w:pPr>
      <w:pStyle w:val="Footer"/>
      <w:rPr>
        <w:sz w:val="18"/>
        <w:szCs w:val="18"/>
      </w:rPr>
    </w:pPr>
    <w:r w:rsidRPr="007B4BBF">
      <w:rPr>
        <w:sz w:val="18"/>
        <w:szCs w:val="18"/>
      </w:rPr>
      <w:tab/>
      <w:t xml:space="preserve">page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763AC5">
      <w:rPr>
        <w:noProof/>
        <w:sz w:val="18"/>
        <w:szCs w:val="18"/>
      </w:rPr>
      <w:t>4</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763AC5">
      <w:rPr>
        <w:noProof/>
        <w:sz w:val="18"/>
        <w:szCs w:val="18"/>
      </w:rPr>
      <w:t>5</w:t>
    </w:r>
    <w:r w:rsidRPr="007B4BB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D56" w:rsidRDefault="00B75D56">
    <w:pPr>
      <w:pStyle w:val="Footer"/>
    </w:pPr>
    <w:r>
      <w:tab/>
      <w:t xml:space="preserve">page </w:t>
    </w:r>
    <w:r>
      <w:fldChar w:fldCharType="begin"/>
    </w:r>
    <w:r>
      <w:instrText xml:space="preserve"> PAGE  \* Arabic  \* MERGEFORMAT </w:instrText>
    </w:r>
    <w:r>
      <w:fldChar w:fldCharType="separate"/>
    </w:r>
    <w:r w:rsidR="00763AC5">
      <w:rPr>
        <w:noProof/>
      </w:rPr>
      <w:t>1</w:t>
    </w:r>
    <w:r>
      <w:fldChar w:fldCharType="end"/>
    </w:r>
    <w:r>
      <w:t xml:space="preserve"> of </w:t>
    </w:r>
    <w:r w:rsidR="00520B63">
      <w:fldChar w:fldCharType="begin"/>
    </w:r>
    <w:r w:rsidR="00520B63">
      <w:instrText xml:space="preserve"> NUMPAGES   \* MERGEFORMAT </w:instrText>
    </w:r>
    <w:r w:rsidR="00520B63">
      <w:fldChar w:fldCharType="separate"/>
    </w:r>
    <w:r w:rsidR="00763AC5">
      <w:rPr>
        <w:noProof/>
      </w:rPr>
      <w:t>5</w:t>
    </w:r>
    <w:r w:rsidR="00520B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B63" w:rsidRDefault="00520B63" w:rsidP="000E70A1">
      <w:pPr>
        <w:spacing w:after="0" w:line="240" w:lineRule="auto"/>
      </w:pPr>
      <w:r>
        <w:separator/>
      </w:r>
    </w:p>
  </w:footnote>
  <w:footnote w:type="continuationSeparator" w:id="0">
    <w:p w:rsidR="00520B63" w:rsidRDefault="00520B63" w:rsidP="000E70A1">
      <w:pPr>
        <w:spacing w:after="0" w:line="240" w:lineRule="auto"/>
      </w:pPr>
      <w:r>
        <w:continuationSeparator/>
      </w:r>
    </w:p>
  </w:footnote>
  <w:footnote w:id="1">
    <w:p w:rsidR="00CC4468" w:rsidRDefault="00CC4468" w:rsidP="00CC4468">
      <w:pPr>
        <w:pStyle w:val="FootnoteText"/>
      </w:pPr>
      <w:r>
        <w:rPr>
          <w:rStyle w:val="FootnoteReference"/>
        </w:rPr>
        <w:footnoteRef/>
      </w:r>
      <w:r>
        <w:t xml:space="preserve"> Lighting Disposition Summary of Changes - Linear Fluorescent. Part 2 (of 3): Linear Fluorescent lighting Systems including 342 measures from 11 IOU workpapers. September 15, 2014. See www.deeresources.com.</w:t>
      </w:r>
    </w:p>
  </w:footnote>
  <w:footnote w:id="2">
    <w:p w:rsidR="00CC4468" w:rsidRDefault="00CC4468" w:rsidP="00CC4468">
      <w:pPr>
        <w:pStyle w:val="FootnoteText"/>
      </w:pPr>
      <w:r>
        <w:rPr>
          <w:rStyle w:val="FootnoteReference"/>
        </w:rPr>
        <w:footnoteRef/>
      </w:r>
      <w:r>
        <w:t xml:space="preserve"> Lighting Retrofit Disposition Summary of Changes - High Bay and HID Technologies and Hard-wired Exterior Lighting. </w:t>
      </w:r>
      <w:r w:rsidRPr="00287492">
        <w:t>Part 3 (of 3): Retrofits of fixtures installed in high-bay applications, hard-wired exterior lighting, or measures which include high intensity discharge (HID) technologies including 224 measures from 31 IOU workpapers.</w:t>
      </w:r>
      <w:r>
        <w:t xml:space="preserve"> November 25, 2014. See www.deeresources.com.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D56" w:rsidRPr="00C455E4" w:rsidRDefault="00893225" w:rsidP="00F21AF4">
    <w:pPr>
      <w:pStyle w:val="Header"/>
    </w:pPr>
    <w:fldSimple w:instr=" STYLEREF  Title  \* MERGEFORMAT ">
      <w:r w:rsidR="00763AC5">
        <w:t>Disposition For Workpapers Covering Exterior LED Lighting Fixtures</w:t>
      </w:r>
    </w:fldSimple>
  </w:p>
  <w:p w:rsidR="00C26165" w:rsidRDefault="00520B63" w:rsidP="00F21AF4">
    <w:pPr>
      <w:pStyle w:val="Header"/>
    </w:pPr>
    <w:r>
      <w:fldChar w:fldCharType="begin"/>
    </w:r>
    <w:r>
      <w:instrText xml:space="preserve"> STYLEREF  Subtitle  \* MERGEFORMAT </w:instrText>
    </w:r>
    <w:r>
      <w:fldChar w:fldCharType="separate"/>
    </w:r>
    <w:r w:rsidR="00763AC5">
      <w:t>California Public Utilities Commission, Energy Division</w:t>
    </w:r>
    <w:r>
      <w:fldChar w:fldCharType="end"/>
    </w:r>
  </w:p>
  <w:p w:rsidR="005F0289" w:rsidRDefault="00520B63" w:rsidP="00F21AF4">
    <w:pPr>
      <w:pStyle w:val="Header"/>
    </w:pPr>
    <w:r>
      <w:fldChar w:fldCharType="begin"/>
    </w:r>
    <w:r>
      <w:instrText xml:space="preserve"> STYLEREF  "Disposition Date"  \* MERGEFORMAT </w:instrText>
    </w:r>
    <w:r>
      <w:fldChar w:fldCharType="separate"/>
    </w:r>
    <w:r w:rsidR="00763AC5">
      <w:t>March 1, 2017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2193A69"/>
    <w:multiLevelType w:val="multilevel"/>
    <w:tmpl w:val="5678AA54"/>
    <w:lvl w:ilvl="0">
      <w:start w:val="2"/>
      <w:numFmt w:val="decimal"/>
      <w:lvlText w:val="%1."/>
      <w:lvlJc w:val="left"/>
      <w:pPr>
        <w:ind w:left="2880" w:hanging="360"/>
      </w:pPr>
      <w:rPr>
        <w:rFonts w:cs="Times New Roman" w:hint="default"/>
        <w:u w:val="none"/>
      </w:rPr>
    </w:lvl>
    <w:lvl w:ilvl="1">
      <w:start w:val="1"/>
      <w:numFmt w:val="decimal"/>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2" w15:restartNumberingAfterBreak="0">
    <w:nsid w:val="072A0B3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4D18E4"/>
    <w:multiLevelType w:val="multilevel"/>
    <w:tmpl w:val="480422CA"/>
    <w:styleLink w:val="Dispositions"/>
    <w:lvl w:ilvl="0">
      <w:start w:val="1"/>
      <w:numFmt w:val="decimal"/>
      <w:pStyle w:val="Heading1"/>
      <w:suff w:val="space"/>
      <w:lvlText w:val="%1."/>
      <w:lvlJc w:val="left"/>
      <w:pPr>
        <w:ind w:left="360" w:hanging="360"/>
      </w:pPr>
      <w:rPr>
        <w:rFonts w:ascii="Calibri" w:hAnsi="Calibri" w:hint="default"/>
        <w:b/>
        <w:i w:val="0"/>
        <w:sz w:val="22"/>
      </w:rPr>
    </w:lvl>
    <w:lvl w:ilvl="1">
      <w:start w:val="1"/>
      <w:numFmt w:val="decimal"/>
      <w:pStyle w:val="Heading2"/>
      <w:suff w:val="space"/>
      <w:lvlText w:val="%1.%2."/>
      <w:lvlJc w:val="left"/>
      <w:pPr>
        <w:ind w:left="216" w:hanging="216"/>
      </w:pPr>
      <w:rPr>
        <w:rFonts w:ascii="Calibri" w:hAnsi="Calibri" w:hint="default"/>
        <w:b/>
        <w:i w:val="0"/>
        <w:sz w:val="22"/>
      </w:rPr>
    </w:lvl>
    <w:lvl w:ilvl="2">
      <w:start w:val="1"/>
      <w:numFmt w:val="decimal"/>
      <w:pStyle w:val="Heading3"/>
      <w:suff w:val="space"/>
      <w:lvlText w:val="%1.%2.%3."/>
      <w:lvlJc w:val="left"/>
      <w:pPr>
        <w:ind w:left="720" w:hanging="360"/>
      </w:pPr>
      <w:rPr>
        <w:rFonts w:ascii="Calibri" w:hAnsi="Calibri" w:hint="default"/>
        <w:sz w:val="22"/>
      </w:rPr>
    </w:lvl>
    <w:lvl w:ilvl="3">
      <w:start w:val="1"/>
      <w:numFmt w:val="decimal"/>
      <w:pStyle w:val="Heading4"/>
      <w:suff w:val="space"/>
      <w:lvlText w:val="%1.%2.%3.%4."/>
      <w:lvlJc w:val="left"/>
      <w:pPr>
        <w:ind w:left="1080" w:hanging="360"/>
      </w:pPr>
      <w:rPr>
        <w:rFonts w:ascii="Calibri" w:hAnsi="Calibri" w:hint="default"/>
        <w:sz w:val="22"/>
      </w:rPr>
    </w:lvl>
    <w:lvl w:ilvl="4">
      <w:start w:val="1"/>
      <w:numFmt w:val="decimal"/>
      <w:pStyle w:val="Heading5"/>
      <w:suff w:val="space"/>
      <w:lvlText w:val="%1.%2.%3.%4.%5."/>
      <w:lvlJc w:val="left"/>
      <w:pPr>
        <w:ind w:left="1440" w:hanging="360"/>
      </w:pPr>
      <w:rPr>
        <w:rFonts w:ascii="Calibri" w:hAnsi="Calibri" w:hint="default"/>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3071C8C"/>
    <w:multiLevelType w:val="multilevel"/>
    <w:tmpl w:val="A1A604DE"/>
    <w:lvl w:ilvl="0">
      <w:start w:val="2"/>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15:restartNumberingAfterBreak="0">
    <w:nsid w:val="18331F91"/>
    <w:multiLevelType w:val="hybridMultilevel"/>
    <w:tmpl w:val="7480D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C4498D"/>
    <w:multiLevelType w:val="hybridMultilevel"/>
    <w:tmpl w:val="E25EB2AC"/>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8" w15:restartNumberingAfterBreak="0">
    <w:nsid w:val="22E268A4"/>
    <w:multiLevelType w:val="hybridMultilevel"/>
    <w:tmpl w:val="E25EB2AC"/>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239C5719"/>
    <w:multiLevelType w:val="multilevel"/>
    <w:tmpl w:val="8E329886"/>
    <w:lvl w:ilvl="0">
      <w:start w:val="1"/>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76550"/>
    <w:multiLevelType w:val="hybridMultilevel"/>
    <w:tmpl w:val="19DC88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6051D17"/>
    <w:multiLevelType w:val="hybridMultilevel"/>
    <w:tmpl w:val="E1483926"/>
    <w:lvl w:ilvl="0" w:tplc="04090017">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8D208B0"/>
    <w:multiLevelType w:val="hybridMultilevel"/>
    <w:tmpl w:val="F6ACAB48"/>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15:restartNumberingAfterBreak="0">
    <w:nsid w:val="3C997D4A"/>
    <w:multiLevelType w:val="multilevel"/>
    <w:tmpl w:val="480422CA"/>
    <w:numStyleLink w:val="Dispositions"/>
  </w:abstractNum>
  <w:abstractNum w:abstractNumId="15" w15:restartNumberingAfterBreak="0">
    <w:nsid w:val="46211E04"/>
    <w:multiLevelType w:val="hybridMultilevel"/>
    <w:tmpl w:val="777C47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E9A2478"/>
    <w:multiLevelType w:val="hybridMultilevel"/>
    <w:tmpl w:val="6DB2DB8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51C66A13"/>
    <w:multiLevelType w:val="hybridMultilevel"/>
    <w:tmpl w:val="BF1C4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54731375"/>
    <w:multiLevelType w:val="multilevel"/>
    <w:tmpl w:val="5C50F43C"/>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5D37598B"/>
    <w:multiLevelType w:val="hybridMultilevel"/>
    <w:tmpl w:val="DDFE1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6F100A0E"/>
    <w:multiLevelType w:val="multilevel"/>
    <w:tmpl w:val="480422CA"/>
    <w:numStyleLink w:val="Dispositions"/>
  </w:abstractNum>
  <w:abstractNum w:abstractNumId="24" w15:restartNumberingAfterBreak="0">
    <w:nsid w:val="739A19B6"/>
    <w:multiLevelType w:val="multilevel"/>
    <w:tmpl w:val="480422CA"/>
    <w:numStyleLink w:val="Dispositions"/>
  </w:abstractNum>
  <w:abstractNum w:abstractNumId="25" w15:restartNumberingAfterBreak="0">
    <w:nsid w:val="775842B9"/>
    <w:multiLevelType w:val="multilevel"/>
    <w:tmpl w:val="F6ACBC58"/>
    <w:lvl w:ilvl="0">
      <w:start w:val="1"/>
      <w:numFmt w:val="lowerLetter"/>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6" w15:restartNumberingAfterBreak="0">
    <w:nsid w:val="78DC5A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BB51ABA"/>
    <w:multiLevelType w:val="multilevel"/>
    <w:tmpl w:val="480422CA"/>
    <w:numStyleLink w:val="Dispositions"/>
  </w:abstractNum>
  <w:abstractNum w:abstractNumId="28" w15:restartNumberingAfterBreak="0">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7"/>
  </w:num>
  <w:num w:numId="3">
    <w:abstractNumId w:val="21"/>
  </w:num>
  <w:num w:numId="4">
    <w:abstractNumId w:val="10"/>
  </w:num>
  <w:num w:numId="5">
    <w:abstractNumId w:val="28"/>
  </w:num>
  <w:num w:numId="6">
    <w:abstractNumId w:val="4"/>
  </w:num>
  <w:num w:numId="7">
    <w:abstractNumId w:val="22"/>
  </w:num>
  <w:num w:numId="8">
    <w:abstractNumId w:val="18"/>
  </w:num>
  <w:num w:numId="9">
    <w:abstractNumId w:val="15"/>
  </w:num>
  <w:num w:numId="10">
    <w:abstractNumId w:val="11"/>
  </w:num>
  <w:num w:numId="11">
    <w:abstractNumId w:val="9"/>
  </w:num>
  <w:num w:numId="12">
    <w:abstractNumId w:val="25"/>
  </w:num>
  <w:num w:numId="13">
    <w:abstractNumId w:val="19"/>
  </w:num>
  <w:num w:numId="14">
    <w:abstractNumId w:val="7"/>
  </w:num>
  <w:num w:numId="15">
    <w:abstractNumId w:val="8"/>
  </w:num>
  <w:num w:numId="16">
    <w:abstractNumId w:val="1"/>
  </w:num>
  <w:num w:numId="17">
    <w:abstractNumId w:val="20"/>
  </w:num>
  <w:num w:numId="18">
    <w:abstractNumId w:val="5"/>
  </w:num>
  <w:num w:numId="19">
    <w:abstractNumId w:val="12"/>
  </w:num>
  <w:num w:numId="20">
    <w:abstractNumId w:val="16"/>
  </w:num>
  <w:num w:numId="21">
    <w:abstractNumId w:val="26"/>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27"/>
  </w:num>
  <w:num w:numId="26">
    <w:abstractNumId w:val="23"/>
  </w:num>
  <w:num w:numId="27">
    <w:abstractNumId w:val="14"/>
    <w:lvlOverride w:ilvl="2">
      <w:lvl w:ilvl="2">
        <w:start w:val="1"/>
        <w:numFmt w:val="decimal"/>
        <w:suff w:val="space"/>
        <w:lvlText w:val="%1.%2.%3."/>
        <w:lvlJc w:val="left"/>
        <w:pPr>
          <w:ind w:left="900" w:hanging="360"/>
        </w:pPr>
        <w:rPr>
          <w:rFonts w:ascii="Calibri" w:hAnsi="Calibri" w:hint="default"/>
          <w:sz w:val="22"/>
        </w:rPr>
      </w:lvl>
    </w:lvlOverride>
  </w:num>
  <w:num w:numId="28">
    <w:abstractNumId w:val="24"/>
    <w:lvlOverride w:ilvl="0">
      <w:lvl w:ilvl="0">
        <w:start w:val="1"/>
        <w:numFmt w:val="decimal"/>
        <w:pStyle w:val="Heading1"/>
        <w:suff w:val="space"/>
        <w:lvlText w:val="%1."/>
        <w:lvlJc w:val="left"/>
        <w:pPr>
          <w:ind w:left="360" w:hanging="360"/>
        </w:pPr>
        <w:rPr>
          <w:rFonts w:ascii="Calibri" w:hAnsi="Calibri" w:hint="default"/>
          <w:b/>
          <w:i w:val="0"/>
          <w:sz w:val="22"/>
        </w:rPr>
      </w:lvl>
    </w:lvlOverride>
    <w:lvlOverride w:ilvl="1">
      <w:lvl w:ilvl="1">
        <w:start w:val="1"/>
        <w:numFmt w:val="decimal"/>
        <w:pStyle w:val="Heading2"/>
        <w:suff w:val="space"/>
        <w:lvlText w:val="%1.%2."/>
        <w:lvlJc w:val="left"/>
        <w:pPr>
          <w:ind w:left="216" w:hanging="216"/>
        </w:pPr>
        <w:rPr>
          <w:rFonts w:ascii="Calibri" w:hAnsi="Calibri" w:hint="default"/>
          <w:b/>
          <w:i w:val="0"/>
          <w:sz w:val="22"/>
        </w:rPr>
      </w:lvl>
    </w:lvlOverride>
    <w:lvlOverride w:ilvl="2">
      <w:lvl w:ilvl="2">
        <w:start w:val="1"/>
        <w:numFmt w:val="decimal"/>
        <w:pStyle w:val="Heading3"/>
        <w:suff w:val="space"/>
        <w:lvlText w:val="%1.%2.%3."/>
        <w:lvlJc w:val="left"/>
        <w:pPr>
          <w:ind w:left="720" w:hanging="360"/>
        </w:pPr>
        <w:rPr>
          <w:rFonts w:ascii="Calibri" w:hAnsi="Calibri" w:hint="default"/>
          <w:sz w:val="22"/>
        </w:rPr>
      </w:lvl>
    </w:lvlOverride>
    <w:lvlOverride w:ilvl="3">
      <w:lvl w:ilvl="3">
        <w:start w:val="1"/>
        <w:numFmt w:val="decimal"/>
        <w:pStyle w:val="Heading4"/>
        <w:suff w:val="space"/>
        <w:lvlText w:val="%1.%2.%3.%4."/>
        <w:lvlJc w:val="left"/>
        <w:pPr>
          <w:ind w:left="1080" w:hanging="360"/>
        </w:pPr>
        <w:rPr>
          <w:rFonts w:ascii="Calibri" w:hAnsi="Calibri" w:hint="default"/>
          <w:sz w:val="22"/>
        </w:rPr>
      </w:lvl>
    </w:lvlOverride>
    <w:lvlOverride w:ilvl="4">
      <w:lvl w:ilvl="4">
        <w:start w:val="1"/>
        <w:numFmt w:val="decimal"/>
        <w:pStyle w:val="Heading5"/>
        <w:suff w:val="space"/>
        <w:lvlText w:val="%1.%2.%3.%4.%5."/>
        <w:lvlJc w:val="left"/>
        <w:pPr>
          <w:ind w:left="1440" w:hanging="360"/>
        </w:pPr>
        <w:rPr>
          <w:rFonts w:ascii="Calibri" w:hAnsi="Calibri" w:hint="default"/>
          <w:sz w:val="22"/>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24"/>
    <w:lvlOverride w:ilvl="0">
      <w:lvl w:ilvl="0">
        <w:start w:val="1"/>
        <w:numFmt w:val="decimal"/>
        <w:pStyle w:val="Heading1"/>
        <w:suff w:val="space"/>
        <w:lvlText w:val="%1."/>
        <w:lvlJc w:val="left"/>
        <w:pPr>
          <w:ind w:left="360" w:hanging="360"/>
        </w:pPr>
        <w:rPr>
          <w:rFonts w:ascii="Calibri" w:hAnsi="Calibri" w:hint="default"/>
          <w:b/>
          <w:i w:val="0"/>
          <w:sz w:val="22"/>
        </w:rPr>
      </w:lvl>
    </w:lvlOverride>
    <w:lvlOverride w:ilvl="1">
      <w:lvl w:ilvl="1">
        <w:start w:val="1"/>
        <w:numFmt w:val="decimal"/>
        <w:pStyle w:val="Heading2"/>
        <w:suff w:val="space"/>
        <w:lvlText w:val="%1.%2."/>
        <w:lvlJc w:val="left"/>
        <w:pPr>
          <w:ind w:left="216" w:hanging="216"/>
        </w:pPr>
        <w:rPr>
          <w:rFonts w:ascii="Calibri" w:hAnsi="Calibri" w:hint="default"/>
          <w:b/>
          <w:i w:val="0"/>
          <w:sz w:val="22"/>
        </w:rPr>
      </w:lvl>
    </w:lvlOverride>
    <w:lvlOverride w:ilvl="2">
      <w:lvl w:ilvl="2">
        <w:start w:val="1"/>
        <w:numFmt w:val="decimal"/>
        <w:pStyle w:val="Heading3"/>
        <w:suff w:val="space"/>
        <w:lvlText w:val="%1.%2.%3."/>
        <w:lvlJc w:val="left"/>
        <w:pPr>
          <w:ind w:left="720" w:hanging="360"/>
        </w:pPr>
        <w:rPr>
          <w:rFonts w:ascii="Calibri" w:hAnsi="Calibri" w:hint="default"/>
          <w:sz w:val="22"/>
        </w:rPr>
      </w:lvl>
    </w:lvlOverride>
    <w:lvlOverride w:ilvl="3">
      <w:lvl w:ilvl="3">
        <w:start w:val="1"/>
        <w:numFmt w:val="decimal"/>
        <w:pStyle w:val="Heading4"/>
        <w:suff w:val="space"/>
        <w:lvlText w:val="%1.%2.%3.%4."/>
        <w:lvlJc w:val="left"/>
        <w:pPr>
          <w:ind w:left="1080" w:hanging="360"/>
        </w:pPr>
        <w:rPr>
          <w:rFonts w:ascii="Calibri" w:hAnsi="Calibri" w:hint="default"/>
          <w:sz w:val="22"/>
        </w:rPr>
      </w:lvl>
    </w:lvlOverride>
    <w:lvlOverride w:ilvl="4">
      <w:lvl w:ilvl="4">
        <w:start w:val="1"/>
        <w:numFmt w:val="decimal"/>
        <w:pStyle w:val="Heading5"/>
        <w:suff w:val="space"/>
        <w:lvlText w:val="%1.%2.%3.%4.%5."/>
        <w:lvlJc w:val="left"/>
        <w:pPr>
          <w:ind w:left="1440" w:hanging="360"/>
        </w:pPr>
        <w:rPr>
          <w:rFonts w:ascii="Calibri" w:hAnsi="Calibri" w:hint="default"/>
          <w:sz w:val="22"/>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0">
    <w:abstractNumId w:val="6"/>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AF0"/>
    <w:rsid w:val="00001830"/>
    <w:rsid w:val="00002A25"/>
    <w:rsid w:val="000050BD"/>
    <w:rsid w:val="00012020"/>
    <w:rsid w:val="00014D39"/>
    <w:rsid w:val="00015D9B"/>
    <w:rsid w:val="00015EE3"/>
    <w:rsid w:val="00015F65"/>
    <w:rsid w:val="00016B21"/>
    <w:rsid w:val="00030406"/>
    <w:rsid w:val="00030FB0"/>
    <w:rsid w:val="00034AE8"/>
    <w:rsid w:val="00051079"/>
    <w:rsid w:val="00053FF3"/>
    <w:rsid w:val="000575E4"/>
    <w:rsid w:val="00057F68"/>
    <w:rsid w:val="000612D4"/>
    <w:rsid w:val="00080E9A"/>
    <w:rsid w:val="00081633"/>
    <w:rsid w:val="00082CA9"/>
    <w:rsid w:val="00090AD3"/>
    <w:rsid w:val="00093AF7"/>
    <w:rsid w:val="00094AD0"/>
    <w:rsid w:val="00095567"/>
    <w:rsid w:val="000A6907"/>
    <w:rsid w:val="000B33BC"/>
    <w:rsid w:val="000B3A74"/>
    <w:rsid w:val="000B56D4"/>
    <w:rsid w:val="000B6C7F"/>
    <w:rsid w:val="000C544D"/>
    <w:rsid w:val="000D04A0"/>
    <w:rsid w:val="000D7703"/>
    <w:rsid w:val="000E70A1"/>
    <w:rsid w:val="000F41A4"/>
    <w:rsid w:val="000F67FC"/>
    <w:rsid w:val="00102ED4"/>
    <w:rsid w:val="00112875"/>
    <w:rsid w:val="00124328"/>
    <w:rsid w:val="00126006"/>
    <w:rsid w:val="0012658A"/>
    <w:rsid w:val="00134CD1"/>
    <w:rsid w:val="0014039F"/>
    <w:rsid w:val="00141A44"/>
    <w:rsid w:val="001435E5"/>
    <w:rsid w:val="001439B6"/>
    <w:rsid w:val="00146BCF"/>
    <w:rsid w:val="00151659"/>
    <w:rsid w:val="00153AA3"/>
    <w:rsid w:val="00153D56"/>
    <w:rsid w:val="00154E04"/>
    <w:rsid w:val="001566B4"/>
    <w:rsid w:val="0016053A"/>
    <w:rsid w:val="001620D5"/>
    <w:rsid w:val="00164F7A"/>
    <w:rsid w:val="00165686"/>
    <w:rsid w:val="0018340B"/>
    <w:rsid w:val="00187B12"/>
    <w:rsid w:val="001B1A3A"/>
    <w:rsid w:val="001C01C3"/>
    <w:rsid w:val="001C2764"/>
    <w:rsid w:val="001C5C1C"/>
    <w:rsid w:val="001C680B"/>
    <w:rsid w:val="001D14BF"/>
    <w:rsid w:val="001D7DD7"/>
    <w:rsid w:val="001E5F48"/>
    <w:rsid w:val="001E7899"/>
    <w:rsid w:val="001F6237"/>
    <w:rsid w:val="002008A9"/>
    <w:rsid w:val="0020456B"/>
    <w:rsid w:val="002064B2"/>
    <w:rsid w:val="00207ACE"/>
    <w:rsid w:val="00223D23"/>
    <w:rsid w:val="00235ACC"/>
    <w:rsid w:val="002362E9"/>
    <w:rsid w:val="00241C0C"/>
    <w:rsid w:val="00243FA9"/>
    <w:rsid w:val="00245B0F"/>
    <w:rsid w:val="00250B06"/>
    <w:rsid w:val="002545F7"/>
    <w:rsid w:val="00257A30"/>
    <w:rsid w:val="00257E69"/>
    <w:rsid w:val="002649F0"/>
    <w:rsid w:val="00273FB3"/>
    <w:rsid w:val="00283390"/>
    <w:rsid w:val="00287492"/>
    <w:rsid w:val="002A67E5"/>
    <w:rsid w:val="002B1119"/>
    <w:rsid w:val="002B5659"/>
    <w:rsid w:val="002C0125"/>
    <w:rsid w:val="002C0670"/>
    <w:rsid w:val="002C15CC"/>
    <w:rsid w:val="002C7AC6"/>
    <w:rsid w:val="002E2F58"/>
    <w:rsid w:val="002E695E"/>
    <w:rsid w:val="002F205A"/>
    <w:rsid w:val="002F27DB"/>
    <w:rsid w:val="003013ED"/>
    <w:rsid w:val="003021CB"/>
    <w:rsid w:val="00302301"/>
    <w:rsid w:val="00310A10"/>
    <w:rsid w:val="00310BA9"/>
    <w:rsid w:val="00312B44"/>
    <w:rsid w:val="00317353"/>
    <w:rsid w:val="00320623"/>
    <w:rsid w:val="00322A72"/>
    <w:rsid w:val="00350DB3"/>
    <w:rsid w:val="003630CF"/>
    <w:rsid w:val="00376DEE"/>
    <w:rsid w:val="00377271"/>
    <w:rsid w:val="00383D3A"/>
    <w:rsid w:val="0039305A"/>
    <w:rsid w:val="003A50A1"/>
    <w:rsid w:val="003B4AE7"/>
    <w:rsid w:val="003B6493"/>
    <w:rsid w:val="003C17B2"/>
    <w:rsid w:val="003D6049"/>
    <w:rsid w:val="003F0162"/>
    <w:rsid w:val="003F1245"/>
    <w:rsid w:val="003F5191"/>
    <w:rsid w:val="003F7718"/>
    <w:rsid w:val="0040181E"/>
    <w:rsid w:val="004037AC"/>
    <w:rsid w:val="0040649D"/>
    <w:rsid w:val="004132D9"/>
    <w:rsid w:val="004274BF"/>
    <w:rsid w:val="00431133"/>
    <w:rsid w:val="00432ABB"/>
    <w:rsid w:val="00433E2E"/>
    <w:rsid w:val="00437E0D"/>
    <w:rsid w:val="0044149E"/>
    <w:rsid w:val="00444535"/>
    <w:rsid w:val="00453E23"/>
    <w:rsid w:val="00454309"/>
    <w:rsid w:val="00455836"/>
    <w:rsid w:val="00470289"/>
    <w:rsid w:val="00487678"/>
    <w:rsid w:val="004923B6"/>
    <w:rsid w:val="004A74A0"/>
    <w:rsid w:val="004B1C6A"/>
    <w:rsid w:val="004B52F9"/>
    <w:rsid w:val="004D03B5"/>
    <w:rsid w:val="004D4B7D"/>
    <w:rsid w:val="004E3453"/>
    <w:rsid w:val="004F20F2"/>
    <w:rsid w:val="004F62F9"/>
    <w:rsid w:val="00511CFA"/>
    <w:rsid w:val="00520B63"/>
    <w:rsid w:val="00533E15"/>
    <w:rsid w:val="005358EE"/>
    <w:rsid w:val="00537A7A"/>
    <w:rsid w:val="00550CF1"/>
    <w:rsid w:val="005547E7"/>
    <w:rsid w:val="00562831"/>
    <w:rsid w:val="005712A1"/>
    <w:rsid w:val="0057291C"/>
    <w:rsid w:val="00580CC6"/>
    <w:rsid w:val="005833F6"/>
    <w:rsid w:val="005846F6"/>
    <w:rsid w:val="00584753"/>
    <w:rsid w:val="00590C39"/>
    <w:rsid w:val="00591A82"/>
    <w:rsid w:val="00593872"/>
    <w:rsid w:val="00594E3A"/>
    <w:rsid w:val="005975F4"/>
    <w:rsid w:val="005A0498"/>
    <w:rsid w:val="005A1C4D"/>
    <w:rsid w:val="005B033C"/>
    <w:rsid w:val="005B40DD"/>
    <w:rsid w:val="005D092D"/>
    <w:rsid w:val="005D1215"/>
    <w:rsid w:val="005E2100"/>
    <w:rsid w:val="005E5A55"/>
    <w:rsid w:val="005F0289"/>
    <w:rsid w:val="005F61B9"/>
    <w:rsid w:val="00607F4A"/>
    <w:rsid w:val="006137ED"/>
    <w:rsid w:val="0062209E"/>
    <w:rsid w:val="006300B4"/>
    <w:rsid w:val="00633C5E"/>
    <w:rsid w:val="00633C82"/>
    <w:rsid w:val="0064014A"/>
    <w:rsid w:val="0064069F"/>
    <w:rsid w:val="0065725B"/>
    <w:rsid w:val="00660B27"/>
    <w:rsid w:val="006677EF"/>
    <w:rsid w:val="00671077"/>
    <w:rsid w:val="00674988"/>
    <w:rsid w:val="0068170E"/>
    <w:rsid w:val="00687D70"/>
    <w:rsid w:val="0069420A"/>
    <w:rsid w:val="006A4ACA"/>
    <w:rsid w:val="006B751F"/>
    <w:rsid w:val="006D15F6"/>
    <w:rsid w:val="006D4FCF"/>
    <w:rsid w:val="006D7BC2"/>
    <w:rsid w:val="006E7CDA"/>
    <w:rsid w:val="00700804"/>
    <w:rsid w:val="00706AF0"/>
    <w:rsid w:val="00706DC3"/>
    <w:rsid w:val="007072C0"/>
    <w:rsid w:val="00710277"/>
    <w:rsid w:val="007121DC"/>
    <w:rsid w:val="00712925"/>
    <w:rsid w:val="00722043"/>
    <w:rsid w:val="0072213E"/>
    <w:rsid w:val="0072405F"/>
    <w:rsid w:val="00726AA5"/>
    <w:rsid w:val="00735549"/>
    <w:rsid w:val="007360E1"/>
    <w:rsid w:val="00736D3E"/>
    <w:rsid w:val="007377AB"/>
    <w:rsid w:val="00740096"/>
    <w:rsid w:val="007420F0"/>
    <w:rsid w:val="0074726D"/>
    <w:rsid w:val="00751AE1"/>
    <w:rsid w:val="00756958"/>
    <w:rsid w:val="00763AC5"/>
    <w:rsid w:val="00763F00"/>
    <w:rsid w:val="007703D9"/>
    <w:rsid w:val="00771712"/>
    <w:rsid w:val="00774848"/>
    <w:rsid w:val="007757D0"/>
    <w:rsid w:val="00775AE6"/>
    <w:rsid w:val="007768F5"/>
    <w:rsid w:val="00777942"/>
    <w:rsid w:val="00781765"/>
    <w:rsid w:val="007A39B0"/>
    <w:rsid w:val="007A3BB2"/>
    <w:rsid w:val="007B4BBF"/>
    <w:rsid w:val="007C0813"/>
    <w:rsid w:val="007C2ACC"/>
    <w:rsid w:val="007C5817"/>
    <w:rsid w:val="007C6215"/>
    <w:rsid w:val="007D4B9B"/>
    <w:rsid w:val="007D4DDD"/>
    <w:rsid w:val="007E0DEA"/>
    <w:rsid w:val="007F0135"/>
    <w:rsid w:val="007F1F9C"/>
    <w:rsid w:val="0080239C"/>
    <w:rsid w:val="00802EC8"/>
    <w:rsid w:val="0081477F"/>
    <w:rsid w:val="00823CF7"/>
    <w:rsid w:val="008262FE"/>
    <w:rsid w:val="008350A5"/>
    <w:rsid w:val="00836DD6"/>
    <w:rsid w:val="00836E27"/>
    <w:rsid w:val="00840E35"/>
    <w:rsid w:val="00845438"/>
    <w:rsid w:val="008504F1"/>
    <w:rsid w:val="0086193B"/>
    <w:rsid w:val="00862988"/>
    <w:rsid w:val="008774A6"/>
    <w:rsid w:val="00882907"/>
    <w:rsid w:val="0088515F"/>
    <w:rsid w:val="00893225"/>
    <w:rsid w:val="00893C67"/>
    <w:rsid w:val="008A099B"/>
    <w:rsid w:val="008B2D68"/>
    <w:rsid w:val="008B6EA2"/>
    <w:rsid w:val="008C3BD7"/>
    <w:rsid w:val="008C5E99"/>
    <w:rsid w:val="008C711A"/>
    <w:rsid w:val="008C7F61"/>
    <w:rsid w:val="008E551C"/>
    <w:rsid w:val="008E6B1C"/>
    <w:rsid w:val="008F2DF0"/>
    <w:rsid w:val="008F35F6"/>
    <w:rsid w:val="008F3CE2"/>
    <w:rsid w:val="008F6C5B"/>
    <w:rsid w:val="009047DA"/>
    <w:rsid w:val="0090760C"/>
    <w:rsid w:val="00913B3A"/>
    <w:rsid w:val="00916DEE"/>
    <w:rsid w:val="00922A4E"/>
    <w:rsid w:val="00932F64"/>
    <w:rsid w:val="00934E05"/>
    <w:rsid w:val="00946AE9"/>
    <w:rsid w:val="009608F0"/>
    <w:rsid w:val="00971B21"/>
    <w:rsid w:val="00975A87"/>
    <w:rsid w:val="0098085C"/>
    <w:rsid w:val="00993C2C"/>
    <w:rsid w:val="00997A05"/>
    <w:rsid w:val="009A0582"/>
    <w:rsid w:val="009A400D"/>
    <w:rsid w:val="009A76C9"/>
    <w:rsid w:val="009B4E31"/>
    <w:rsid w:val="009C3040"/>
    <w:rsid w:val="009C3051"/>
    <w:rsid w:val="009C58D2"/>
    <w:rsid w:val="00A021FB"/>
    <w:rsid w:val="00A03798"/>
    <w:rsid w:val="00A0471B"/>
    <w:rsid w:val="00A11247"/>
    <w:rsid w:val="00A14E41"/>
    <w:rsid w:val="00A15C83"/>
    <w:rsid w:val="00A21E0E"/>
    <w:rsid w:val="00A24712"/>
    <w:rsid w:val="00A32722"/>
    <w:rsid w:val="00A36E8C"/>
    <w:rsid w:val="00A5254E"/>
    <w:rsid w:val="00A56550"/>
    <w:rsid w:val="00A61D93"/>
    <w:rsid w:val="00A64E0C"/>
    <w:rsid w:val="00A71E1C"/>
    <w:rsid w:val="00A7209F"/>
    <w:rsid w:val="00A873F8"/>
    <w:rsid w:val="00AA31E7"/>
    <w:rsid w:val="00AA7059"/>
    <w:rsid w:val="00AB08CD"/>
    <w:rsid w:val="00AB68C5"/>
    <w:rsid w:val="00AC4FB8"/>
    <w:rsid w:val="00AD2469"/>
    <w:rsid w:val="00AE056F"/>
    <w:rsid w:val="00AE25A2"/>
    <w:rsid w:val="00AF2BE8"/>
    <w:rsid w:val="00AF349A"/>
    <w:rsid w:val="00B01B1D"/>
    <w:rsid w:val="00B060E6"/>
    <w:rsid w:val="00B06998"/>
    <w:rsid w:val="00B12167"/>
    <w:rsid w:val="00B14C8C"/>
    <w:rsid w:val="00B26946"/>
    <w:rsid w:val="00B27A91"/>
    <w:rsid w:val="00B30D50"/>
    <w:rsid w:val="00B379D6"/>
    <w:rsid w:val="00B433BF"/>
    <w:rsid w:val="00B469C3"/>
    <w:rsid w:val="00B47583"/>
    <w:rsid w:val="00B51572"/>
    <w:rsid w:val="00B600C6"/>
    <w:rsid w:val="00B702D7"/>
    <w:rsid w:val="00B75D56"/>
    <w:rsid w:val="00B80733"/>
    <w:rsid w:val="00B864D0"/>
    <w:rsid w:val="00B927D8"/>
    <w:rsid w:val="00B948EC"/>
    <w:rsid w:val="00B97C9B"/>
    <w:rsid w:val="00BA0C3E"/>
    <w:rsid w:val="00BA26ED"/>
    <w:rsid w:val="00BB303C"/>
    <w:rsid w:val="00BC0A24"/>
    <w:rsid w:val="00BC5F21"/>
    <w:rsid w:val="00BD3DDF"/>
    <w:rsid w:val="00BD7A08"/>
    <w:rsid w:val="00BE16D9"/>
    <w:rsid w:val="00BE2B49"/>
    <w:rsid w:val="00BE3652"/>
    <w:rsid w:val="00BF4533"/>
    <w:rsid w:val="00C0532D"/>
    <w:rsid w:val="00C070E5"/>
    <w:rsid w:val="00C10911"/>
    <w:rsid w:val="00C15238"/>
    <w:rsid w:val="00C163B5"/>
    <w:rsid w:val="00C26165"/>
    <w:rsid w:val="00C30FAF"/>
    <w:rsid w:val="00C372B8"/>
    <w:rsid w:val="00C37430"/>
    <w:rsid w:val="00C411E6"/>
    <w:rsid w:val="00C42DC7"/>
    <w:rsid w:val="00C455E4"/>
    <w:rsid w:val="00C46478"/>
    <w:rsid w:val="00C4783D"/>
    <w:rsid w:val="00C55387"/>
    <w:rsid w:val="00C617DB"/>
    <w:rsid w:val="00C61CBE"/>
    <w:rsid w:val="00C704CD"/>
    <w:rsid w:val="00C812A5"/>
    <w:rsid w:val="00C8311F"/>
    <w:rsid w:val="00C83AF7"/>
    <w:rsid w:val="00C84574"/>
    <w:rsid w:val="00CA138C"/>
    <w:rsid w:val="00CA4BEB"/>
    <w:rsid w:val="00CA652B"/>
    <w:rsid w:val="00CA67D2"/>
    <w:rsid w:val="00CB6450"/>
    <w:rsid w:val="00CC4468"/>
    <w:rsid w:val="00CC7570"/>
    <w:rsid w:val="00CD0872"/>
    <w:rsid w:val="00CD0C07"/>
    <w:rsid w:val="00CD3B54"/>
    <w:rsid w:val="00CD3CB0"/>
    <w:rsid w:val="00CD6AB2"/>
    <w:rsid w:val="00CE171E"/>
    <w:rsid w:val="00CE73BF"/>
    <w:rsid w:val="00D066B4"/>
    <w:rsid w:val="00D1454B"/>
    <w:rsid w:val="00D172B5"/>
    <w:rsid w:val="00D23BEF"/>
    <w:rsid w:val="00D259D6"/>
    <w:rsid w:val="00D54F4C"/>
    <w:rsid w:val="00D655E2"/>
    <w:rsid w:val="00D657AB"/>
    <w:rsid w:val="00D67344"/>
    <w:rsid w:val="00D8241D"/>
    <w:rsid w:val="00D84533"/>
    <w:rsid w:val="00D85716"/>
    <w:rsid w:val="00D90F79"/>
    <w:rsid w:val="00DC095C"/>
    <w:rsid w:val="00DD6BB7"/>
    <w:rsid w:val="00DE193E"/>
    <w:rsid w:val="00E0003E"/>
    <w:rsid w:val="00E06BD4"/>
    <w:rsid w:val="00E06DEF"/>
    <w:rsid w:val="00E12E68"/>
    <w:rsid w:val="00E162A4"/>
    <w:rsid w:val="00E224E2"/>
    <w:rsid w:val="00E3047B"/>
    <w:rsid w:val="00E357AA"/>
    <w:rsid w:val="00E47259"/>
    <w:rsid w:val="00E47FFD"/>
    <w:rsid w:val="00E530CC"/>
    <w:rsid w:val="00E534A2"/>
    <w:rsid w:val="00E55481"/>
    <w:rsid w:val="00E56918"/>
    <w:rsid w:val="00E57C4D"/>
    <w:rsid w:val="00E60139"/>
    <w:rsid w:val="00E73793"/>
    <w:rsid w:val="00E7450A"/>
    <w:rsid w:val="00E858B0"/>
    <w:rsid w:val="00E875C4"/>
    <w:rsid w:val="00E95FFB"/>
    <w:rsid w:val="00E96FC2"/>
    <w:rsid w:val="00EB17D2"/>
    <w:rsid w:val="00EB3A89"/>
    <w:rsid w:val="00EB52F9"/>
    <w:rsid w:val="00EC14AB"/>
    <w:rsid w:val="00EC319B"/>
    <w:rsid w:val="00EC7891"/>
    <w:rsid w:val="00ED1EEC"/>
    <w:rsid w:val="00EE1027"/>
    <w:rsid w:val="00EE11D0"/>
    <w:rsid w:val="00EE2B37"/>
    <w:rsid w:val="00EE315E"/>
    <w:rsid w:val="00EE4705"/>
    <w:rsid w:val="00EE74BD"/>
    <w:rsid w:val="00F00C5A"/>
    <w:rsid w:val="00F015A8"/>
    <w:rsid w:val="00F07D30"/>
    <w:rsid w:val="00F201E9"/>
    <w:rsid w:val="00F21AF4"/>
    <w:rsid w:val="00F25727"/>
    <w:rsid w:val="00F27D2E"/>
    <w:rsid w:val="00F42F1D"/>
    <w:rsid w:val="00F45DF2"/>
    <w:rsid w:val="00F47C91"/>
    <w:rsid w:val="00F540E4"/>
    <w:rsid w:val="00F5571C"/>
    <w:rsid w:val="00F80949"/>
    <w:rsid w:val="00F84648"/>
    <w:rsid w:val="00F874C9"/>
    <w:rsid w:val="00F95C2E"/>
    <w:rsid w:val="00FA383D"/>
    <w:rsid w:val="00FB06B7"/>
    <w:rsid w:val="00FB0919"/>
    <w:rsid w:val="00FB54E5"/>
    <w:rsid w:val="00FC178F"/>
    <w:rsid w:val="00FD15A7"/>
    <w:rsid w:val="00FD31B6"/>
    <w:rsid w:val="00FD72DE"/>
    <w:rsid w:val="00FE183F"/>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042D2F0B-40DB-45FB-B906-541C01B5C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E2B37"/>
    <w:pPr>
      <w:spacing w:after="200" w:line="276" w:lineRule="auto"/>
    </w:pPr>
    <w:rPr>
      <w:rFonts w:cs="Times New Roman"/>
    </w:rPr>
  </w:style>
  <w:style w:type="paragraph" w:styleId="Heading1">
    <w:name w:val="heading 1"/>
    <w:basedOn w:val="Normal"/>
    <w:next w:val="Body1"/>
    <w:link w:val="Heading1Char"/>
    <w:qFormat/>
    <w:locked/>
    <w:rsid w:val="00EE2B37"/>
    <w:pPr>
      <w:keepNext/>
      <w:keepLines/>
      <w:numPr>
        <w:numId w:val="29"/>
      </w:numPr>
      <w:spacing w:before="480" w:after="0"/>
      <w:outlineLvl w:val="0"/>
    </w:pPr>
    <w:rPr>
      <w:rFonts w:eastAsiaTheme="majorEastAsia" w:cstheme="majorBidi"/>
      <w:b/>
      <w:bCs/>
      <w:szCs w:val="28"/>
    </w:rPr>
  </w:style>
  <w:style w:type="paragraph" w:styleId="Heading2">
    <w:name w:val="heading 2"/>
    <w:basedOn w:val="Normal"/>
    <w:next w:val="Body2"/>
    <w:link w:val="Heading2Char"/>
    <w:unhideWhenUsed/>
    <w:qFormat/>
    <w:locked/>
    <w:rsid w:val="00EE2B37"/>
    <w:pPr>
      <w:keepNext/>
      <w:keepLines/>
      <w:numPr>
        <w:ilvl w:val="1"/>
        <w:numId w:val="29"/>
      </w:numPr>
      <w:spacing w:before="200" w:after="0"/>
      <w:outlineLvl w:val="1"/>
    </w:pPr>
    <w:rPr>
      <w:rFonts w:eastAsiaTheme="majorEastAsia" w:cstheme="majorBidi"/>
      <w:b/>
      <w:bCs/>
      <w:szCs w:val="26"/>
    </w:rPr>
  </w:style>
  <w:style w:type="paragraph" w:styleId="Heading3">
    <w:name w:val="heading 3"/>
    <w:basedOn w:val="Normal"/>
    <w:next w:val="Body3"/>
    <w:link w:val="Heading3Char"/>
    <w:unhideWhenUsed/>
    <w:qFormat/>
    <w:locked/>
    <w:rsid w:val="00EE2B37"/>
    <w:pPr>
      <w:keepNext/>
      <w:keepLines/>
      <w:numPr>
        <w:ilvl w:val="2"/>
        <w:numId w:val="29"/>
      </w:numPr>
      <w:spacing w:before="200" w:after="0"/>
      <w:outlineLvl w:val="2"/>
    </w:pPr>
    <w:rPr>
      <w:rFonts w:eastAsiaTheme="majorEastAsia" w:cstheme="majorBidi"/>
      <w:bCs/>
      <w:u w:val="single"/>
    </w:rPr>
  </w:style>
  <w:style w:type="paragraph" w:styleId="Heading4">
    <w:name w:val="heading 4"/>
    <w:basedOn w:val="Normal"/>
    <w:next w:val="Normal"/>
    <w:link w:val="Heading4Char"/>
    <w:unhideWhenUsed/>
    <w:qFormat/>
    <w:locked/>
    <w:rsid w:val="00EE2B37"/>
    <w:pPr>
      <w:keepNext/>
      <w:keepLines/>
      <w:numPr>
        <w:ilvl w:val="3"/>
        <w:numId w:val="29"/>
      </w:numPr>
      <w:spacing w:before="200" w:after="0"/>
      <w:outlineLvl w:val="3"/>
    </w:pPr>
    <w:rPr>
      <w:rFonts w:eastAsiaTheme="majorEastAsia" w:cstheme="majorBidi"/>
      <w:bCs/>
      <w:iCs/>
    </w:rPr>
  </w:style>
  <w:style w:type="paragraph" w:styleId="Heading5">
    <w:name w:val="heading 5"/>
    <w:basedOn w:val="Normal"/>
    <w:next w:val="Normal"/>
    <w:link w:val="Heading5Char"/>
    <w:unhideWhenUsed/>
    <w:qFormat/>
    <w:locked/>
    <w:rsid w:val="00EE2B37"/>
    <w:pPr>
      <w:keepNext/>
      <w:keepLines/>
      <w:numPr>
        <w:ilvl w:val="4"/>
        <w:numId w:val="29"/>
      </w:numPr>
      <w:spacing w:before="200" w:after="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2B37"/>
    <w:pPr>
      <w:ind w:left="720"/>
      <w:contextualSpacing/>
    </w:pPr>
  </w:style>
  <w:style w:type="paragraph" w:styleId="Caption">
    <w:name w:val="caption"/>
    <w:basedOn w:val="Normal"/>
    <w:next w:val="Normal"/>
    <w:uiPriority w:val="99"/>
    <w:qFormat/>
    <w:rsid w:val="00AC4FB8"/>
    <w:pPr>
      <w:spacing w:line="240" w:lineRule="auto"/>
      <w:jc w:val="center"/>
    </w:pPr>
    <w:rPr>
      <w:b/>
      <w:bCs/>
      <w:color w:val="4F81BD"/>
      <w:sz w:val="18"/>
      <w:szCs w:val="18"/>
    </w:rPr>
  </w:style>
  <w:style w:type="table" w:styleId="TableGrid">
    <w:name w:val="Table Grid"/>
    <w:basedOn w:val="TableNormal"/>
    <w:uiPriority w:val="59"/>
    <w:rsid w:val="00EE2B37"/>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21AF4"/>
    <w:pPr>
      <w:tabs>
        <w:tab w:val="center" w:pos="4680"/>
        <w:tab w:val="right" w:pos="9360"/>
      </w:tabs>
      <w:spacing w:after="0" w:line="240" w:lineRule="auto"/>
    </w:pPr>
    <w:rPr>
      <w:noProof/>
      <w:sz w:val="18"/>
      <w:szCs w:val="18"/>
    </w:rPr>
  </w:style>
  <w:style w:type="character" w:customStyle="1" w:styleId="HeaderChar">
    <w:name w:val="Header Char"/>
    <w:basedOn w:val="DefaultParagraphFont"/>
    <w:link w:val="Header"/>
    <w:uiPriority w:val="99"/>
    <w:locked/>
    <w:rsid w:val="00F21AF4"/>
    <w:rPr>
      <w:rFonts w:cs="Times New Roman"/>
      <w:noProof/>
      <w:sz w:val="18"/>
      <w:szCs w:val="18"/>
    </w:rPr>
  </w:style>
  <w:style w:type="paragraph" w:styleId="Footer">
    <w:name w:val="footer"/>
    <w:basedOn w:val="Normal"/>
    <w:link w:val="FooterChar"/>
    <w:uiPriority w:val="99"/>
    <w:rsid w:val="00EE2B3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E2B37"/>
    <w:rPr>
      <w:rFonts w:cs="Times New Roman"/>
    </w:rPr>
  </w:style>
  <w:style w:type="paragraph" w:styleId="FootnoteText">
    <w:name w:val="footnote text"/>
    <w:basedOn w:val="Normal"/>
    <w:link w:val="FootnoteTextChar"/>
    <w:uiPriority w:val="99"/>
    <w:semiHidden/>
    <w:rsid w:val="00EE2B37"/>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E2B37"/>
    <w:rPr>
      <w:rFonts w:cs="Times New Roman"/>
      <w:sz w:val="20"/>
      <w:szCs w:val="20"/>
    </w:rPr>
  </w:style>
  <w:style w:type="character" w:styleId="FootnoteReference">
    <w:name w:val="footnote reference"/>
    <w:basedOn w:val="DefaultParagraphFont"/>
    <w:uiPriority w:val="99"/>
    <w:semiHidden/>
    <w:rsid w:val="00EE2B37"/>
    <w:rPr>
      <w:rFonts w:cs="Times New Roman"/>
      <w:vertAlign w:val="superscript"/>
    </w:rPr>
  </w:style>
  <w:style w:type="character" w:styleId="CommentReference">
    <w:name w:val="annotation reference"/>
    <w:basedOn w:val="DefaultParagraphFont"/>
    <w:uiPriority w:val="99"/>
    <w:semiHidden/>
    <w:unhideWhenUsed/>
    <w:rsid w:val="00EE2B37"/>
    <w:rPr>
      <w:rFonts w:cs="Times New Roman"/>
      <w:sz w:val="16"/>
      <w:szCs w:val="16"/>
    </w:rPr>
  </w:style>
  <w:style w:type="paragraph" w:styleId="CommentText">
    <w:name w:val="annotation text"/>
    <w:basedOn w:val="Normal"/>
    <w:link w:val="CommentTextChar"/>
    <w:uiPriority w:val="99"/>
    <w:semiHidden/>
    <w:unhideWhenUsed/>
    <w:rsid w:val="00EE2B3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E2B37"/>
    <w:rPr>
      <w:rFonts w:cs="Times New Roman"/>
      <w:sz w:val="20"/>
      <w:szCs w:val="20"/>
    </w:rPr>
  </w:style>
  <w:style w:type="paragraph" w:styleId="CommentSubject">
    <w:name w:val="annotation subject"/>
    <w:basedOn w:val="CommentText"/>
    <w:next w:val="CommentText"/>
    <w:link w:val="CommentSubjectChar"/>
    <w:uiPriority w:val="99"/>
    <w:semiHidden/>
    <w:unhideWhenUsed/>
    <w:rsid w:val="00EE2B37"/>
    <w:rPr>
      <w:b/>
      <w:bCs/>
    </w:rPr>
  </w:style>
  <w:style w:type="character" w:customStyle="1" w:styleId="CommentSubjectChar">
    <w:name w:val="Comment Subject Char"/>
    <w:basedOn w:val="CommentTextChar"/>
    <w:link w:val="CommentSubject"/>
    <w:uiPriority w:val="99"/>
    <w:semiHidden/>
    <w:locked/>
    <w:rsid w:val="00EE2B37"/>
    <w:rPr>
      <w:rFonts w:cs="Times New Roman"/>
      <w:b/>
      <w:bCs/>
      <w:sz w:val="20"/>
      <w:szCs w:val="20"/>
    </w:rPr>
  </w:style>
  <w:style w:type="paragraph" w:styleId="BalloonText">
    <w:name w:val="Balloon Text"/>
    <w:basedOn w:val="Normal"/>
    <w:link w:val="BalloonTextChar"/>
    <w:uiPriority w:val="99"/>
    <w:semiHidden/>
    <w:unhideWhenUsed/>
    <w:rsid w:val="00EE2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2B37"/>
    <w:rPr>
      <w:rFonts w:ascii="Tahoma" w:hAnsi="Tahoma" w:cs="Tahoma"/>
      <w:sz w:val="16"/>
      <w:szCs w:val="16"/>
    </w:rPr>
  </w:style>
  <w:style w:type="paragraph" w:styleId="EndnoteText">
    <w:name w:val="endnote text"/>
    <w:basedOn w:val="Normal"/>
    <w:link w:val="EndnoteTextChar"/>
    <w:uiPriority w:val="99"/>
    <w:semiHidden/>
    <w:unhideWhenUsed/>
    <w:rsid w:val="00EE2B3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EE2B37"/>
    <w:rPr>
      <w:rFonts w:cs="Times New Roman"/>
      <w:sz w:val="20"/>
      <w:szCs w:val="20"/>
    </w:rPr>
  </w:style>
  <w:style w:type="character" w:styleId="EndnoteReference">
    <w:name w:val="endnote reference"/>
    <w:basedOn w:val="DefaultParagraphFont"/>
    <w:uiPriority w:val="99"/>
    <w:semiHidden/>
    <w:unhideWhenUsed/>
    <w:rsid w:val="00EE2B37"/>
    <w:rPr>
      <w:rFonts w:cs="Times New Roman"/>
      <w:vertAlign w:val="superscript"/>
    </w:rPr>
  </w:style>
  <w:style w:type="numbering" w:customStyle="1" w:styleId="Dispositions">
    <w:name w:val="Dispositions"/>
    <w:uiPriority w:val="99"/>
    <w:rsid w:val="00EE2B37"/>
    <w:pPr>
      <w:numPr>
        <w:numId w:val="23"/>
      </w:numPr>
    </w:pPr>
  </w:style>
  <w:style w:type="paragraph" w:styleId="Title">
    <w:name w:val="Title"/>
    <w:basedOn w:val="Normal"/>
    <w:next w:val="Normal"/>
    <w:link w:val="TitleChar"/>
    <w:qFormat/>
    <w:locked/>
    <w:rsid w:val="00EE2B37"/>
    <w:pPr>
      <w:spacing w:after="0" w:line="240" w:lineRule="auto"/>
    </w:pPr>
    <w:rPr>
      <w:b/>
      <w:caps/>
      <w:sz w:val="24"/>
      <w:szCs w:val="24"/>
    </w:rPr>
  </w:style>
  <w:style w:type="character" w:customStyle="1" w:styleId="Heading1Char">
    <w:name w:val="Heading 1 Char"/>
    <w:basedOn w:val="DefaultParagraphFont"/>
    <w:link w:val="Heading1"/>
    <w:rsid w:val="00EE2B37"/>
    <w:rPr>
      <w:rFonts w:eastAsiaTheme="majorEastAsia" w:cstheme="majorBidi"/>
      <w:b/>
      <w:bCs/>
      <w:szCs w:val="28"/>
    </w:rPr>
  </w:style>
  <w:style w:type="character" w:customStyle="1" w:styleId="Heading2Char">
    <w:name w:val="Heading 2 Char"/>
    <w:basedOn w:val="DefaultParagraphFont"/>
    <w:link w:val="Heading2"/>
    <w:rsid w:val="00EE2B37"/>
    <w:rPr>
      <w:rFonts w:eastAsiaTheme="majorEastAsia" w:cstheme="majorBidi"/>
      <w:b/>
      <w:bCs/>
      <w:szCs w:val="26"/>
    </w:rPr>
  </w:style>
  <w:style w:type="character" w:customStyle="1" w:styleId="Heading3Char">
    <w:name w:val="Heading 3 Char"/>
    <w:basedOn w:val="DefaultParagraphFont"/>
    <w:link w:val="Heading3"/>
    <w:rsid w:val="00EE2B37"/>
    <w:rPr>
      <w:rFonts w:eastAsiaTheme="majorEastAsia" w:cstheme="majorBidi"/>
      <w:bCs/>
      <w:u w:val="single"/>
    </w:rPr>
  </w:style>
  <w:style w:type="character" w:customStyle="1" w:styleId="Heading4Char">
    <w:name w:val="Heading 4 Char"/>
    <w:basedOn w:val="DefaultParagraphFont"/>
    <w:link w:val="Heading4"/>
    <w:rsid w:val="00EE2B37"/>
    <w:rPr>
      <w:rFonts w:eastAsiaTheme="majorEastAsia" w:cstheme="majorBidi"/>
      <w:bCs/>
      <w:iCs/>
    </w:rPr>
  </w:style>
  <w:style w:type="character" w:customStyle="1" w:styleId="Heading5Char">
    <w:name w:val="Heading 5 Char"/>
    <w:basedOn w:val="DefaultParagraphFont"/>
    <w:link w:val="Heading5"/>
    <w:rsid w:val="00EE2B37"/>
    <w:rPr>
      <w:rFonts w:eastAsiaTheme="majorEastAsia" w:cstheme="majorBidi"/>
    </w:rPr>
  </w:style>
  <w:style w:type="character" w:customStyle="1" w:styleId="TitleChar">
    <w:name w:val="Title Char"/>
    <w:basedOn w:val="DefaultParagraphFont"/>
    <w:link w:val="Title"/>
    <w:rsid w:val="00EE2B37"/>
    <w:rPr>
      <w:rFonts w:cs="Times New Roman"/>
      <w:b/>
      <w:caps/>
      <w:sz w:val="24"/>
      <w:szCs w:val="24"/>
    </w:rPr>
  </w:style>
  <w:style w:type="paragraph" w:styleId="Subtitle">
    <w:name w:val="Subtitle"/>
    <w:basedOn w:val="Normal"/>
    <w:next w:val="Normal"/>
    <w:link w:val="SubtitleChar"/>
    <w:qFormat/>
    <w:locked/>
    <w:rsid w:val="00EE2B37"/>
    <w:pPr>
      <w:spacing w:after="0" w:line="240" w:lineRule="auto"/>
    </w:pPr>
    <w:rPr>
      <w:b/>
      <w:sz w:val="24"/>
      <w:szCs w:val="24"/>
    </w:rPr>
  </w:style>
  <w:style w:type="character" w:customStyle="1" w:styleId="SubtitleChar">
    <w:name w:val="Subtitle Char"/>
    <w:basedOn w:val="DefaultParagraphFont"/>
    <w:link w:val="Subtitle"/>
    <w:rsid w:val="00EE2B37"/>
    <w:rPr>
      <w:rFonts w:cs="Times New Roman"/>
      <w:b/>
      <w:sz w:val="24"/>
      <w:szCs w:val="24"/>
    </w:rPr>
  </w:style>
  <w:style w:type="paragraph" w:customStyle="1" w:styleId="DispositionDate">
    <w:name w:val="Disposition Date"/>
    <w:basedOn w:val="Normal"/>
    <w:qFormat/>
    <w:rsid w:val="00EE2B37"/>
    <w:rPr>
      <w:sz w:val="24"/>
      <w:szCs w:val="24"/>
    </w:rPr>
  </w:style>
  <w:style w:type="paragraph" w:styleId="TOC1">
    <w:name w:val="toc 1"/>
    <w:basedOn w:val="Normal"/>
    <w:next w:val="Heading1"/>
    <w:autoRedefine/>
    <w:uiPriority w:val="39"/>
    <w:locked/>
    <w:rsid w:val="00EE2B37"/>
  </w:style>
  <w:style w:type="paragraph" w:styleId="TOC2">
    <w:name w:val="toc 2"/>
    <w:basedOn w:val="TOC1"/>
    <w:next w:val="Normal"/>
    <w:autoRedefine/>
    <w:uiPriority w:val="39"/>
    <w:locked/>
    <w:rsid w:val="00EE2B37"/>
    <w:pPr>
      <w:spacing w:before="100" w:after="100"/>
      <w:ind w:left="216"/>
    </w:pPr>
  </w:style>
  <w:style w:type="paragraph" w:styleId="TOC3">
    <w:name w:val="toc 3"/>
    <w:basedOn w:val="Normal"/>
    <w:next w:val="Normal"/>
    <w:locked/>
    <w:rsid w:val="00EE2B37"/>
    <w:pPr>
      <w:spacing w:before="100" w:after="100"/>
      <w:ind w:left="720"/>
    </w:pPr>
    <w:rPr>
      <w:rFonts w:asciiTheme="minorHAnsi" w:eastAsiaTheme="majorEastAsia" w:hAnsiTheme="minorHAnsi" w:cstheme="majorBidi"/>
      <w:bCs/>
    </w:rPr>
  </w:style>
  <w:style w:type="paragraph" w:customStyle="1" w:styleId="Body1">
    <w:name w:val="Body1"/>
    <w:basedOn w:val="Normal"/>
    <w:qFormat/>
    <w:rsid w:val="00EE2B37"/>
  </w:style>
  <w:style w:type="paragraph" w:customStyle="1" w:styleId="Body2">
    <w:name w:val="Body2"/>
    <w:basedOn w:val="Normal"/>
    <w:qFormat/>
    <w:rsid w:val="00EE2B37"/>
    <w:pPr>
      <w:ind w:left="216"/>
    </w:pPr>
  </w:style>
  <w:style w:type="paragraph" w:customStyle="1" w:styleId="Body3">
    <w:name w:val="Body3"/>
    <w:basedOn w:val="Body2"/>
    <w:qFormat/>
    <w:rsid w:val="00EE2B37"/>
    <w:pPr>
      <w:ind w:left="720"/>
    </w:pPr>
  </w:style>
  <w:style w:type="character" w:styleId="Hyperlink">
    <w:name w:val="Hyperlink"/>
    <w:basedOn w:val="DefaultParagraphFont"/>
    <w:uiPriority w:val="99"/>
    <w:unhideWhenUsed/>
    <w:rsid w:val="00EE2B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799110">
      <w:marLeft w:val="0"/>
      <w:marRight w:val="0"/>
      <w:marTop w:val="0"/>
      <w:marBottom w:val="0"/>
      <w:divBdr>
        <w:top w:val="none" w:sz="0" w:space="0" w:color="auto"/>
        <w:left w:val="none" w:sz="0" w:space="0" w:color="auto"/>
        <w:bottom w:val="none" w:sz="0" w:space="0" w:color="auto"/>
        <w:right w:val="none" w:sz="0" w:space="0" w:color="auto"/>
      </w:divBdr>
    </w:div>
    <w:div w:id="1155799111">
      <w:marLeft w:val="0"/>
      <w:marRight w:val="0"/>
      <w:marTop w:val="0"/>
      <w:marBottom w:val="0"/>
      <w:divBdr>
        <w:top w:val="none" w:sz="0" w:space="0" w:color="auto"/>
        <w:left w:val="none" w:sz="0" w:space="0" w:color="auto"/>
        <w:bottom w:val="none" w:sz="0" w:space="0" w:color="auto"/>
        <w:right w:val="none" w:sz="0" w:space="0" w:color="auto"/>
      </w:divBdr>
    </w:div>
    <w:div w:id="11557991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tion10\Google%20Drive\2017%20Workpaper\Dispositi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EB401-2C4D-479D-9998-4D7CF5BFF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DispositionTemplate.dotx</Template>
  <TotalTime>0</TotalTime>
  <Pages>5</Pages>
  <Words>1743</Words>
  <Characters>9938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CPUC Ex Ante Review Team</dc:creator>
  <cp:lastModifiedBy>James Hirsch</cp:lastModifiedBy>
  <cp:revision>2</cp:revision>
  <cp:lastPrinted>2016-02-15T02:50:00Z</cp:lastPrinted>
  <dcterms:created xsi:type="dcterms:W3CDTF">2017-03-02T06:04:00Z</dcterms:created>
  <dcterms:modified xsi:type="dcterms:W3CDTF">2017-03-02T06:04:00Z</dcterms:modified>
</cp:coreProperties>
</file>