
<file path=[Content_Types].xml><?xml version="1.0" encoding="utf-8"?>
<Types xmlns="http://schemas.openxmlformats.org/package/2006/content-types">
  <Default Extension="docx" ContentType="application/vnd.openxmlformats-officedocument.wordprocessingml.document"/>
  <Default Extension="emf" ContentType="image/x-emf"/>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5057" w:type="pct"/>
        <w:tblLayout w:type="fixed"/>
        <w:tblCellMar>
          <w:left w:w="0" w:type="dxa"/>
          <w:right w:w="0" w:type="dxa"/>
        </w:tblCellMar>
        <w:tblLook w:val="0000" w:firstRow="0" w:lastRow="0" w:firstColumn="0" w:lastColumn="0" w:noHBand="0" w:noVBand="0"/>
      </w:tblPr>
      <w:tblGrid>
        <w:gridCol w:w="4894"/>
        <w:gridCol w:w="1656"/>
        <w:gridCol w:w="3141"/>
      </w:tblGrid>
      <w:tr w:rsidR="00481A95" w14:paraId="4B4581F1" w14:textId="77777777" w:rsidTr="00EF14F0">
        <w:trPr>
          <w:trHeight w:val="262"/>
        </w:trPr>
        <w:tc>
          <w:tcPr>
            <w:tcW w:w="9692" w:type="dxa"/>
            <w:gridSpan w:val="3"/>
          </w:tcPr>
          <w:p w14:paraId="4B4904AF" w14:textId="77777777" w:rsidR="007376B6" w:rsidRPr="007376B6" w:rsidRDefault="007376B6" w:rsidP="00AE114C">
            <w:pPr>
              <w:pStyle w:val="DNVGL-Details"/>
            </w:pPr>
          </w:p>
        </w:tc>
      </w:tr>
      <w:tr w:rsidR="00481A95" w14:paraId="3BF61860" w14:textId="77777777" w:rsidTr="00EF14F0">
        <w:trPr>
          <w:trHeight w:val="262"/>
        </w:trPr>
        <w:tc>
          <w:tcPr>
            <w:tcW w:w="4895" w:type="dxa"/>
          </w:tcPr>
          <w:p w14:paraId="4496E89F" w14:textId="53E25ADD" w:rsidR="007376B6" w:rsidRPr="007376B6" w:rsidRDefault="00A077EA" w:rsidP="00AE114C">
            <w:pPr>
              <w:pStyle w:val="DNVGL-Details"/>
              <w:rPr>
                <w:b/>
                <w:bCs/>
              </w:rPr>
            </w:pPr>
            <w:r w:rsidRPr="007376B6">
              <w:rPr>
                <w:b/>
                <w:bCs/>
              </w:rPr>
              <w:t xml:space="preserve">Memo to:  </w:t>
            </w:r>
          </w:p>
        </w:tc>
        <w:tc>
          <w:tcPr>
            <w:tcW w:w="1656" w:type="dxa"/>
          </w:tcPr>
          <w:p w14:paraId="6C66EF14" w14:textId="181AE57F" w:rsidR="007376B6" w:rsidRPr="007376B6" w:rsidRDefault="007376B6" w:rsidP="00AE114C">
            <w:pPr>
              <w:pStyle w:val="DNVGL-Details"/>
              <w:rPr>
                <w:b/>
                <w:bCs/>
              </w:rPr>
            </w:pPr>
          </w:p>
        </w:tc>
        <w:tc>
          <w:tcPr>
            <w:tcW w:w="3139" w:type="dxa"/>
            <w:shd w:val="clear" w:color="auto" w:fill="auto"/>
            <w:tcMar>
              <w:left w:w="0" w:type="dxa"/>
            </w:tcMar>
          </w:tcPr>
          <w:p w14:paraId="43EED1DE" w14:textId="1FE71444" w:rsidR="007376B6" w:rsidRPr="007376B6" w:rsidRDefault="007376B6" w:rsidP="00AE114C">
            <w:pPr>
              <w:pStyle w:val="DNVGL-Details"/>
            </w:pPr>
          </w:p>
        </w:tc>
      </w:tr>
      <w:tr w:rsidR="00481A95" w14:paraId="6D068E16" w14:textId="77777777" w:rsidTr="00EF14F0">
        <w:trPr>
          <w:trHeight w:val="262"/>
        </w:trPr>
        <w:tc>
          <w:tcPr>
            <w:tcW w:w="4895" w:type="dxa"/>
            <w:vMerge w:val="restart"/>
          </w:tcPr>
          <w:p w14:paraId="7061CD38" w14:textId="5C840470" w:rsidR="00863C6D" w:rsidRDefault="007B25E0" w:rsidP="00863C6D">
            <w:pPr>
              <w:pStyle w:val="DNVGL-Details"/>
            </w:pPr>
            <w:proofErr w:type="spellStart"/>
            <w:r>
              <w:t>Willdan’s</w:t>
            </w:r>
            <w:proofErr w:type="spellEnd"/>
            <w:r>
              <w:t xml:space="preserve"> study authors (</w:t>
            </w:r>
            <w:r w:rsidR="00C324E9" w:rsidRPr="00C324E9">
              <w:t>Jeff Hirsch, James J. Hirsch and Associates</w:t>
            </w:r>
            <w:r w:rsidR="00863C6D">
              <w:t xml:space="preserve">, </w:t>
            </w:r>
            <w:r w:rsidR="00863C6D" w:rsidRPr="00C324E9">
              <w:t>Kevin Madison</w:t>
            </w:r>
            <w:r w:rsidR="00863C6D">
              <w:t>, PNNL</w:t>
            </w:r>
            <w:r>
              <w:t xml:space="preserve">, and </w:t>
            </w:r>
            <w:r w:rsidR="00863C6D">
              <w:t xml:space="preserve">Felix </w:t>
            </w:r>
            <w:r w:rsidR="00863C6D" w:rsidRPr="00863C6D">
              <w:t>Monterroso</w:t>
            </w:r>
            <w:r w:rsidR="00863C6D">
              <w:t>, W</w:t>
            </w:r>
            <w:r w:rsidR="00863C6D" w:rsidRPr="00863C6D">
              <w:t>illdan</w:t>
            </w:r>
            <w:r>
              <w:t>)</w:t>
            </w:r>
          </w:p>
          <w:p w14:paraId="180C3F33" w14:textId="0909F83D" w:rsidR="004B21F9" w:rsidRDefault="007B25E0" w:rsidP="00AE114C">
            <w:pPr>
              <w:pStyle w:val="DNVGL-Details"/>
            </w:pPr>
            <w:r>
              <w:t>TRC’s study authors (</w:t>
            </w:r>
            <w:r w:rsidR="004B21F9" w:rsidRPr="004B21F9">
              <w:t xml:space="preserve">Susanne </w:t>
            </w:r>
            <w:proofErr w:type="spellStart"/>
            <w:r w:rsidR="004B21F9" w:rsidRPr="004B21F9">
              <w:t>Lehre</w:t>
            </w:r>
            <w:proofErr w:type="spellEnd"/>
            <w:r w:rsidR="004B21F9" w:rsidRPr="004B21F9">
              <w:t xml:space="preserve">, Glen </w:t>
            </w:r>
            <w:proofErr w:type="spellStart"/>
            <w:r w:rsidR="004B21F9" w:rsidRPr="004B21F9">
              <w:t>LaPalme</w:t>
            </w:r>
            <w:proofErr w:type="spellEnd"/>
            <w:r w:rsidR="004B21F9" w:rsidRPr="004B21F9">
              <w:t>, Andrew Gustafson</w:t>
            </w:r>
            <w:r w:rsidR="004B21F9">
              <w:t xml:space="preserve">, </w:t>
            </w:r>
            <w:r w:rsidR="004B21F9" w:rsidRPr="004B21F9">
              <w:t>TRC</w:t>
            </w:r>
            <w:r>
              <w:t>)</w:t>
            </w:r>
          </w:p>
          <w:p w14:paraId="77E2C018" w14:textId="5A931718" w:rsidR="00863C6D" w:rsidRDefault="00863C6D" w:rsidP="00AE114C">
            <w:pPr>
              <w:pStyle w:val="DNVGL-Details"/>
            </w:pPr>
            <w:r>
              <w:t>PG&amp;E</w:t>
            </w:r>
          </w:p>
          <w:p w14:paraId="4020B161" w14:textId="4C78C61B" w:rsidR="00863C6D" w:rsidRDefault="00863C6D" w:rsidP="00AE114C">
            <w:pPr>
              <w:pStyle w:val="DNVGL-Details"/>
            </w:pPr>
            <w:r>
              <w:t>SCE</w:t>
            </w:r>
          </w:p>
          <w:p w14:paraId="648153DC" w14:textId="2993FFCA" w:rsidR="00863C6D" w:rsidRDefault="00863C6D" w:rsidP="00AE114C">
            <w:pPr>
              <w:pStyle w:val="DNVGL-Details"/>
            </w:pPr>
            <w:r>
              <w:t>SDG&amp;E</w:t>
            </w:r>
          </w:p>
          <w:p w14:paraId="6B11F5D6" w14:textId="2DC8A0F5" w:rsidR="008E55FD" w:rsidRPr="004412A3" w:rsidRDefault="008E55FD" w:rsidP="00AE114C">
            <w:pPr>
              <w:pStyle w:val="DNVGL-Details"/>
              <w:rPr>
                <w:b/>
                <w:bCs/>
                <w:lang w:val="en-US"/>
              </w:rPr>
            </w:pPr>
          </w:p>
        </w:tc>
        <w:tc>
          <w:tcPr>
            <w:tcW w:w="1656" w:type="dxa"/>
          </w:tcPr>
          <w:p w14:paraId="2B110037" w14:textId="77777777" w:rsidR="007376B6" w:rsidRPr="007376B6" w:rsidRDefault="00A077EA" w:rsidP="00AE114C">
            <w:pPr>
              <w:pStyle w:val="DNVGL-Details"/>
              <w:rPr>
                <w:b/>
                <w:bCs/>
              </w:rPr>
            </w:pPr>
            <w:r w:rsidRPr="007376B6">
              <w:rPr>
                <w:b/>
                <w:bCs/>
              </w:rPr>
              <w:t>From:</w:t>
            </w:r>
          </w:p>
        </w:tc>
        <w:tc>
          <w:tcPr>
            <w:tcW w:w="3139" w:type="dxa"/>
            <w:shd w:val="clear" w:color="auto" w:fill="auto"/>
            <w:tcMar>
              <w:left w:w="0" w:type="dxa"/>
            </w:tcMar>
          </w:tcPr>
          <w:p w14:paraId="4641FFFE" w14:textId="685DE537" w:rsidR="007376B6" w:rsidRPr="007376B6" w:rsidRDefault="009D473C" w:rsidP="00AE114C">
            <w:pPr>
              <w:pStyle w:val="DNVGL-Details"/>
            </w:pPr>
            <w:r w:rsidRPr="009D473C">
              <w:t>Custom Project Review (CPR) team</w:t>
            </w:r>
          </w:p>
        </w:tc>
      </w:tr>
      <w:tr w:rsidR="00481A95" w14:paraId="7405880F" w14:textId="77777777" w:rsidTr="003B064A">
        <w:trPr>
          <w:trHeight w:val="134"/>
        </w:trPr>
        <w:tc>
          <w:tcPr>
            <w:tcW w:w="4895" w:type="dxa"/>
            <w:vMerge/>
          </w:tcPr>
          <w:p w14:paraId="2F85C187" w14:textId="77777777" w:rsidR="007376B6" w:rsidRPr="007376B6" w:rsidRDefault="007376B6" w:rsidP="00AE114C">
            <w:pPr>
              <w:pStyle w:val="DNVGL-Details"/>
            </w:pPr>
          </w:p>
        </w:tc>
        <w:tc>
          <w:tcPr>
            <w:tcW w:w="1656" w:type="dxa"/>
            <w:shd w:val="clear" w:color="auto" w:fill="auto"/>
          </w:tcPr>
          <w:p w14:paraId="395E224C" w14:textId="77777777" w:rsidR="007376B6" w:rsidRPr="007758F0" w:rsidRDefault="00A077EA" w:rsidP="00AE114C">
            <w:pPr>
              <w:pStyle w:val="DNVGL-Details"/>
              <w:rPr>
                <w:b/>
                <w:bCs/>
              </w:rPr>
            </w:pPr>
            <w:r w:rsidRPr="007758F0">
              <w:rPr>
                <w:b/>
                <w:bCs/>
              </w:rPr>
              <w:t>Date:</w:t>
            </w:r>
          </w:p>
        </w:tc>
        <w:tc>
          <w:tcPr>
            <w:tcW w:w="3139" w:type="dxa"/>
            <w:shd w:val="clear" w:color="auto" w:fill="auto"/>
            <w:tcMar>
              <w:left w:w="0" w:type="dxa"/>
            </w:tcMar>
          </w:tcPr>
          <w:p w14:paraId="6B5697AC" w14:textId="07FA796A" w:rsidR="007376B6" w:rsidRPr="007758F0" w:rsidRDefault="00863C6D" w:rsidP="00AE114C">
            <w:pPr>
              <w:pStyle w:val="DNVGL-Details"/>
            </w:pPr>
            <w:r w:rsidRPr="007758F0">
              <w:t xml:space="preserve">June </w:t>
            </w:r>
            <w:r w:rsidR="007758F0" w:rsidRPr="007758F0">
              <w:t>20</w:t>
            </w:r>
            <w:r w:rsidR="00C324E9" w:rsidRPr="007758F0">
              <w:t>, 202</w:t>
            </w:r>
            <w:r w:rsidR="0088408B" w:rsidRPr="007758F0">
              <w:t>3</w:t>
            </w:r>
          </w:p>
        </w:tc>
      </w:tr>
      <w:tr w:rsidR="00481A95" w:rsidRPr="00F866F2" w14:paraId="503FAA83" w14:textId="77777777" w:rsidTr="00EF14F0">
        <w:trPr>
          <w:trHeight w:val="1264"/>
        </w:trPr>
        <w:tc>
          <w:tcPr>
            <w:tcW w:w="4895" w:type="dxa"/>
          </w:tcPr>
          <w:p w14:paraId="56E0D966" w14:textId="71DAA58E" w:rsidR="007376B6" w:rsidRPr="007376B6" w:rsidRDefault="007376B6" w:rsidP="004D50FA">
            <w:pPr>
              <w:pStyle w:val="DNVGL-Details"/>
            </w:pPr>
          </w:p>
        </w:tc>
        <w:tc>
          <w:tcPr>
            <w:tcW w:w="1656" w:type="dxa"/>
          </w:tcPr>
          <w:p w14:paraId="55D88E8E" w14:textId="77777777" w:rsidR="007376B6" w:rsidRDefault="00A077EA" w:rsidP="00AE114C">
            <w:pPr>
              <w:pStyle w:val="DNVGL-Details"/>
              <w:rPr>
                <w:b/>
                <w:bCs/>
              </w:rPr>
            </w:pPr>
            <w:r w:rsidRPr="007376B6">
              <w:rPr>
                <w:b/>
                <w:bCs/>
              </w:rPr>
              <w:t>Prep. By:</w:t>
            </w:r>
          </w:p>
          <w:p w14:paraId="43F8833B" w14:textId="77777777" w:rsidR="002C11A7" w:rsidRPr="002C11A7" w:rsidRDefault="002C11A7" w:rsidP="002C11A7"/>
          <w:p w14:paraId="3F4AE922" w14:textId="77777777" w:rsidR="002C11A7" w:rsidRDefault="002C11A7" w:rsidP="002C11A7">
            <w:pPr>
              <w:rPr>
                <w:b/>
                <w:bCs/>
              </w:rPr>
            </w:pPr>
          </w:p>
          <w:p w14:paraId="73942ADD" w14:textId="77777777" w:rsidR="002C11A7" w:rsidRDefault="002C11A7" w:rsidP="002C11A7">
            <w:pPr>
              <w:spacing w:after="120"/>
              <w:rPr>
                <w:b/>
                <w:bCs/>
              </w:rPr>
            </w:pPr>
          </w:p>
          <w:p w14:paraId="0B010875" w14:textId="6B44577B" w:rsidR="002C11A7" w:rsidRPr="002C11A7" w:rsidRDefault="002C11A7" w:rsidP="002C11A7">
            <w:pPr>
              <w:spacing w:after="120"/>
              <w:rPr>
                <w:b/>
                <w:bCs/>
              </w:rPr>
            </w:pPr>
          </w:p>
        </w:tc>
        <w:tc>
          <w:tcPr>
            <w:tcW w:w="3139" w:type="dxa"/>
            <w:shd w:val="clear" w:color="auto" w:fill="auto"/>
            <w:tcMar>
              <w:left w:w="0" w:type="dxa"/>
            </w:tcMar>
          </w:tcPr>
          <w:p w14:paraId="231E0CB0" w14:textId="16DAE99F" w:rsidR="007376B6" w:rsidRPr="00F866F2" w:rsidRDefault="00C324E9" w:rsidP="00AE114C">
            <w:pPr>
              <w:pStyle w:val="DNVGL-Details"/>
              <w:rPr>
                <w:lang w:val="en-US"/>
              </w:rPr>
            </w:pPr>
            <w:r w:rsidRPr="00F866F2">
              <w:rPr>
                <w:lang w:val="en-US"/>
              </w:rPr>
              <w:t>Sepideh Shahinfard</w:t>
            </w:r>
            <w:r w:rsidR="00E40947" w:rsidRPr="00F866F2">
              <w:rPr>
                <w:lang w:val="en-US"/>
              </w:rPr>
              <w:t>, Quantum</w:t>
            </w:r>
            <w:r w:rsidR="00F866F2" w:rsidRPr="00F866F2">
              <w:rPr>
                <w:lang w:val="en-US"/>
              </w:rPr>
              <w:t xml:space="preserve"> Energy An</w:t>
            </w:r>
            <w:r w:rsidR="00F866F2">
              <w:rPr>
                <w:lang w:val="en-US"/>
              </w:rPr>
              <w:t>alytics</w:t>
            </w:r>
          </w:p>
          <w:p w14:paraId="41AE2148" w14:textId="37DD0205" w:rsidR="00C71FAA" w:rsidRPr="00F866F2" w:rsidRDefault="00E40947" w:rsidP="00EF14F0">
            <w:pPr>
              <w:pStyle w:val="DNVGL-Details"/>
              <w:spacing w:after="120"/>
              <w:rPr>
                <w:lang w:val="en-US"/>
              </w:rPr>
            </w:pPr>
            <w:r w:rsidRPr="00F866F2">
              <w:rPr>
                <w:lang w:val="en-US"/>
              </w:rPr>
              <w:t>Rashid Mir, CPUC</w:t>
            </w:r>
          </w:p>
        </w:tc>
      </w:tr>
      <w:tr w:rsidR="00481A95" w:rsidRPr="00F866F2" w14:paraId="1FD5C035" w14:textId="77777777" w:rsidTr="00EF14F0">
        <w:trPr>
          <w:trHeight w:val="187"/>
        </w:trPr>
        <w:tc>
          <w:tcPr>
            <w:tcW w:w="9692" w:type="dxa"/>
            <w:gridSpan w:val="3"/>
          </w:tcPr>
          <w:p w14:paraId="357D37E3" w14:textId="746653C5" w:rsidR="00C71FAA" w:rsidRPr="00F866F2" w:rsidRDefault="00C71FAA" w:rsidP="00EF14F0">
            <w:pPr>
              <w:rPr>
                <w:lang w:val="en-US"/>
              </w:rPr>
            </w:pPr>
          </w:p>
        </w:tc>
      </w:tr>
    </w:tbl>
    <w:p w14:paraId="663B6254" w14:textId="7253AE9F" w:rsidR="007376B6" w:rsidRDefault="00E3136B" w:rsidP="00C324E9">
      <w:pPr>
        <w:pStyle w:val="BodyText"/>
        <w:rPr>
          <w:b/>
          <w:bCs/>
        </w:rPr>
      </w:pPr>
      <w:r>
        <w:rPr>
          <w:b/>
          <w:bCs/>
        </w:rPr>
        <w:t xml:space="preserve">CPUC Staff </w:t>
      </w:r>
      <w:r w:rsidR="00965EFB">
        <w:rPr>
          <w:b/>
          <w:bCs/>
        </w:rPr>
        <w:t xml:space="preserve">Response to </w:t>
      </w:r>
      <w:r w:rsidR="00C324E9">
        <w:rPr>
          <w:b/>
          <w:bCs/>
        </w:rPr>
        <w:t xml:space="preserve">the </w:t>
      </w:r>
      <w:r w:rsidR="00B37610">
        <w:rPr>
          <w:b/>
          <w:bCs/>
        </w:rPr>
        <w:t>Cannabis</w:t>
      </w:r>
      <w:r w:rsidR="00C324E9">
        <w:rPr>
          <w:b/>
          <w:bCs/>
        </w:rPr>
        <w:t xml:space="preserve"> </w:t>
      </w:r>
      <w:r w:rsidR="003B064A">
        <w:rPr>
          <w:b/>
          <w:bCs/>
        </w:rPr>
        <w:t xml:space="preserve">Lighting </w:t>
      </w:r>
      <w:r w:rsidR="00C324E9" w:rsidRPr="00C324E9">
        <w:rPr>
          <w:b/>
          <w:bCs/>
        </w:rPr>
        <w:t xml:space="preserve">Standard Practice </w:t>
      </w:r>
      <w:r w:rsidR="003B064A">
        <w:rPr>
          <w:b/>
          <w:bCs/>
        </w:rPr>
        <w:t>Stud</w:t>
      </w:r>
      <w:r w:rsidR="00CD72FC">
        <w:rPr>
          <w:b/>
          <w:bCs/>
        </w:rPr>
        <w:t xml:space="preserve">ies Performed by Willdan and TRC </w:t>
      </w:r>
    </w:p>
    <w:p w14:paraId="14FE48E6" w14:textId="05290200" w:rsidR="00CB085B" w:rsidRDefault="00CB085B" w:rsidP="00863C6D">
      <w:pPr>
        <w:pStyle w:val="BodyText"/>
      </w:pPr>
      <w:r w:rsidRPr="00CB085B">
        <w:t xml:space="preserve">The CPUC has approved the following standard practice and minimum measure PPE (Photosynthetic Photon Efficacy) values, referred to as efficacy, for cannabis lighting projects based on the grow type. </w:t>
      </w:r>
      <w:r w:rsidR="00EE1F75" w:rsidRPr="00EE1F75">
        <w:t xml:space="preserve">These values have undergone a rigorous approval process, which involved extensive discussions with stakeholders. Two proposals, submitted by the Willdan team and TRC, were thoroughly reviewed and considered during this process. As a result, the </w:t>
      </w:r>
      <w:r w:rsidR="007758F0">
        <w:t xml:space="preserve">following </w:t>
      </w:r>
      <w:r w:rsidR="00EE1F75" w:rsidRPr="00EE1F75">
        <w:t>approved values are now established as the official guidelines for all cannabis lighting projects.</w:t>
      </w:r>
      <w:r w:rsidR="00EE1F75">
        <w:t xml:space="preserve"> </w:t>
      </w:r>
      <w:r w:rsidR="00EE1F75" w:rsidRPr="00EE1F75">
        <w:t>These guidelines reflect the collective input and expertise of stakeholders involved in the review process.</w:t>
      </w:r>
      <w:r w:rsidR="004C6B21">
        <w:rPr>
          <w:rStyle w:val="FootnoteReference"/>
          <w:b/>
          <w:bCs/>
        </w:rPr>
        <w:footnoteReference w:id="1"/>
      </w:r>
      <w:r w:rsidR="00EE1F75">
        <w:t xml:space="preserve"> </w:t>
      </w:r>
    </w:p>
    <w:p w14:paraId="1A594A8E" w14:textId="050696F4" w:rsidR="00CB085B" w:rsidRPr="00E6759D" w:rsidRDefault="00CB085B" w:rsidP="00CB085B">
      <w:pPr>
        <w:pStyle w:val="Caption"/>
        <w:jc w:val="center"/>
        <w:rPr>
          <w:b w:val="0"/>
          <w:bCs/>
        </w:rPr>
      </w:pPr>
      <w:r>
        <w:t xml:space="preserve">Table </w:t>
      </w:r>
      <w:r>
        <w:fldChar w:fldCharType="begin"/>
      </w:r>
      <w:r>
        <w:instrText xml:space="preserve"> SEQ Table \* ARABIC </w:instrText>
      </w:r>
      <w:r>
        <w:fldChar w:fldCharType="separate"/>
      </w:r>
      <w:r>
        <w:rPr>
          <w:noProof/>
        </w:rPr>
        <w:t>1</w:t>
      </w:r>
      <w:r>
        <w:fldChar w:fldCharType="end"/>
      </w:r>
      <w:r>
        <w:t xml:space="preserve"> </w:t>
      </w:r>
      <w:r w:rsidRPr="00E6759D">
        <w:rPr>
          <w:b w:val="0"/>
          <w:bCs/>
        </w:rPr>
        <w:t>Standard Practice and Measure Eligibility Requirements</w:t>
      </w:r>
      <w:r>
        <w:rPr>
          <w:b w:val="0"/>
          <w:bCs/>
        </w:rPr>
        <w:t xml:space="preserve"> for Indoor Single Layer Operation</w:t>
      </w:r>
    </w:p>
    <w:tbl>
      <w:tblPr>
        <w:tblW w:w="67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0"/>
        <w:gridCol w:w="866"/>
        <w:gridCol w:w="1251"/>
        <w:gridCol w:w="1315"/>
        <w:gridCol w:w="1263"/>
        <w:gridCol w:w="1350"/>
      </w:tblGrid>
      <w:tr w:rsidR="00CB085B" w:rsidRPr="00E6759D" w14:paraId="73FA6F3B" w14:textId="77777777" w:rsidTr="005C0EB9">
        <w:trPr>
          <w:trHeight w:val="21"/>
          <w:jc w:val="center"/>
        </w:trPr>
        <w:tc>
          <w:tcPr>
            <w:tcW w:w="700" w:type="dxa"/>
            <w:tcBorders>
              <w:bottom w:val="nil"/>
            </w:tcBorders>
          </w:tcPr>
          <w:p w14:paraId="6E8DE3E1" w14:textId="77777777" w:rsidR="00CB085B" w:rsidRPr="00E6759D" w:rsidRDefault="00CB085B" w:rsidP="005C0EB9">
            <w:pPr>
              <w:keepNext/>
              <w:autoSpaceDE w:val="0"/>
              <w:autoSpaceDN w:val="0"/>
              <w:adjustRightInd w:val="0"/>
              <w:jc w:val="right"/>
              <w:rPr>
                <w:rFonts w:eastAsia="Calibri"/>
                <w:color w:val="000000"/>
                <w:sz w:val="16"/>
                <w:szCs w:val="16"/>
                <w:lang w:eastAsia="en-US"/>
              </w:rPr>
            </w:pPr>
          </w:p>
        </w:tc>
        <w:tc>
          <w:tcPr>
            <w:tcW w:w="4695" w:type="dxa"/>
            <w:gridSpan w:val="4"/>
          </w:tcPr>
          <w:p w14:paraId="546C14B7" w14:textId="77777777" w:rsidR="00CB085B" w:rsidRPr="00E6759D" w:rsidRDefault="00CB085B" w:rsidP="005C0EB9">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Standard Practice</w:t>
            </w:r>
          </w:p>
        </w:tc>
        <w:tc>
          <w:tcPr>
            <w:tcW w:w="1350" w:type="dxa"/>
          </w:tcPr>
          <w:p w14:paraId="51639290" w14:textId="77777777" w:rsidR="00CB085B" w:rsidRPr="00E6759D" w:rsidRDefault="00CB085B" w:rsidP="005C0EB9">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Measure</w:t>
            </w:r>
          </w:p>
        </w:tc>
      </w:tr>
      <w:tr w:rsidR="00CB085B" w:rsidRPr="00E6759D" w14:paraId="65C59311" w14:textId="77777777" w:rsidTr="005C0EB9">
        <w:trPr>
          <w:trHeight w:val="21"/>
          <w:jc w:val="center"/>
        </w:trPr>
        <w:tc>
          <w:tcPr>
            <w:tcW w:w="700" w:type="dxa"/>
            <w:tcBorders>
              <w:top w:val="nil"/>
            </w:tcBorders>
            <w:tcMar>
              <w:left w:w="58" w:type="dxa"/>
              <w:right w:w="58" w:type="dxa"/>
            </w:tcMar>
            <w:vAlign w:val="bottom"/>
          </w:tcPr>
          <w:p w14:paraId="698A313A" w14:textId="77777777" w:rsidR="00CB085B" w:rsidRPr="00E6759D" w:rsidRDefault="00CB085B" w:rsidP="005C0EB9">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Year</w:t>
            </w:r>
          </w:p>
        </w:tc>
        <w:tc>
          <w:tcPr>
            <w:tcW w:w="866" w:type="dxa"/>
            <w:tcMar>
              <w:left w:w="58" w:type="dxa"/>
              <w:right w:w="58" w:type="dxa"/>
            </w:tcMar>
            <w:vAlign w:val="bottom"/>
          </w:tcPr>
          <w:p w14:paraId="758F7594" w14:textId="77777777" w:rsidR="00CB085B" w:rsidRPr="00E6759D" w:rsidRDefault="00CB085B" w:rsidP="005C0EB9">
            <w:pPr>
              <w:keepNext/>
              <w:autoSpaceDE w:val="0"/>
              <w:autoSpaceDN w:val="0"/>
              <w:adjustRightInd w:val="0"/>
              <w:jc w:val="center"/>
              <w:rPr>
                <w:rFonts w:eastAsia="Calibri"/>
                <w:color w:val="000000"/>
                <w:sz w:val="16"/>
                <w:szCs w:val="16"/>
                <w:vertAlign w:val="superscript"/>
                <w:lang w:val="en-US" w:eastAsia="en-US"/>
              </w:rPr>
            </w:pPr>
            <w:r w:rsidRPr="00E6759D">
              <w:rPr>
                <w:rFonts w:eastAsia="Calibri"/>
                <w:color w:val="000000"/>
                <w:sz w:val="16"/>
                <w:szCs w:val="16"/>
                <w:lang w:val="en-US" w:eastAsia="en-US"/>
              </w:rPr>
              <w:t>LED Fraction</w:t>
            </w:r>
          </w:p>
        </w:tc>
        <w:tc>
          <w:tcPr>
            <w:tcW w:w="1251" w:type="dxa"/>
            <w:tcMar>
              <w:left w:w="58" w:type="dxa"/>
              <w:right w:w="58" w:type="dxa"/>
            </w:tcMar>
            <w:vAlign w:val="bottom"/>
          </w:tcPr>
          <w:p w14:paraId="1B9EA41B" w14:textId="77777777" w:rsidR="00CB085B" w:rsidRPr="00E6759D" w:rsidRDefault="00CB085B" w:rsidP="005C0EB9">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Non-LED Efficacy (µmol/</w:t>
            </w:r>
            <w:r>
              <w:rPr>
                <w:rFonts w:eastAsia="Calibri"/>
                <w:color w:val="000000"/>
                <w:sz w:val="16"/>
                <w:szCs w:val="16"/>
                <w:lang w:val="en-US" w:eastAsia="en-US"/>
              </w:rPr>
              <w:t>J</w:t>
            </w:r>
            <w:r w:rsidRPr="00E6759D">
              <w:rPr>
                <w:rFonts w:eastAsia="Calibri"/>
                <w:color w:val="000000"/>
                <w:sz w:val="16"/>
                <w:szCs w:val="16"/>
                <w:lang w:val="en-US" w:eastAsia="en-US"/>
              </w:rPr>
              <w:t>)</w:t>
            </w:r>
          </w:p>
        </w:tc>
        <w:tc>
          <w:tcPr>
            <w:tcW w:w="1315" w:type="dxa"/>
            <w:tcMar>
              <w:left w:w="58" w:type="dxa"/>
              <w:right w:w="58" w:type="dxa"/>
            </w:tcMar>
            <w:vAlign w:val="bottom"/>
          </w:tcPr>
          <w:p w14:paraId="300A64AB" w14:textId="77777777" w:rsidR="00CB085B" w:rsidRPr="00E6759D" w:rsidRDefault="00CB085B" w:rsidP="005C0EB9">
            <w:pPr>
              <w:keepNext/>
              <w:autoSpaceDE w:val="0"/>
              <w:autoSpaceDN w:val="0"/>
              <w:adjustRightInd w:val="0"/>
              <w:jc w:val="center"/>
              <w:rPr>
                <w:rFonts w:eastAsia="Calibri"/>
                <w:color w:val="000000"/>
                <w:sz w:val="16"/>
                <w:szCs w:val="16"/>
                <w:vertAlign w:val="superscript"/>
                <w:lang w:val="en-US" w:eastAsia="en-US"/>
              </w:rPr>
            </w:pPr>
            <w:r w:rsidRPr="00E6759D">
              <w:rPr>
                <w:rFonts w:eastAsia="Calibri"/>
                <w:color w:val="000000"/>
                <w:sz w:val="16"/>
                <w:szCs w:val="16"/>
                <w:lang w:val="en-US" w:eastAsia="en-US"/>
              </w:rPr>
              <w:t>LED Efficacy (µmol/</w:t>
            </w:r>
            <w:r>
              <w:rPr>
                <w:rFonts w:eastAsia="Calibri"/>
                <w:color w:val="000000"/>
                <w:sz w:val="16"/>
                <w:szCs w:val="16"/>
                <w:lang w:val="en-US" w:eastAsia="en-US"/>
              </w:rPr>
              <w:t>J</w:t>
            </w:r>
            <w:r w:rsidRPr="00E6759D">
              <w:rPr>
                <w:rFonts w:eastAsia="Calibri"/>
                <w:color w:val="000000"/>
                <w:sz w:val="16"/>
                <w:szCs w:val="16"/>
                <w:lang w:val="en-US" w:eastAsia="en-US"/>
              </w:rPr>
              <w:t>)</w:t>
            </w:r>
          </w:p>
        </w:tc>
        <w:tc>
          <w:tcPr>
            <w:tcW w:w="1263" w:type="dxa"/>
            <w:tcMar>
              <w:left w:w="58" w:type="dxa"/>
              <w:right w:w="58" w:type="dxa"/>
            </w:tcMar>
            <w:vAlign w:val="bottom"/>
          </w:tcPr>
          <w:p w14:paraId="19C4CB31" w14:textId="6A237D7B" w:rsidR="00CB085B" w:rsidRPr="00E6759D" w:rsidRDefault="00CB085B" w:rsidP="005C0EB9">
            <w:pPr>
              <w:keepNext/>
              <w:autoSpaceDE w:val="0"/>
              <w:autoSpaceDN w:val="0"/>
              <w:adjustRightInd w:val="0"/>
              <w:jc w:val="center"/>
              <w:rPr>
                <w:rFonts w:eastAsia="Calibri"/>
                <w:color w:val="000000"/>
                <w:sz w:val="16"/>
                <w:szCs w:val="16"/>
                <w:vertAlign w:val="superscript"/>
                <w:lang w:val="en-US" w:eastAsia="en-US"/>
              </w:rPr>
            </w:pPr>
            <w:r>
              <w:rPr>
                <w:rFonts w:eastAsia="Calibri"/>
                <w:color w:val="000000"/>
                <w:sz w:val="16"/>
                <w:szCs w:val="16"/>
                <w:lang w:val="en-US" w:eastAsia="en-US"/>
              </w:rPr>
              <w:t xml:space="preserve">Standard Practice </w:t>
            </w:r>
            <w:r w:rsidRPr="00E6759D">
              <w:rPr>
                <w:rFonts w:eastAsia="Calibri"/>
                <w:color w:val="000000"/>
                <w:sz w:val="16"/>
                <w:szCs w:val="16"/>
                <w:lang w:val="en-US" w:eastAsia="en-US"/>
              </w:rPr>
              <w:t>Efficacy (µmol/</w:t>
            </w:r>
            <w:r>
              <w:rPr>
                <w:rFonts w:eastAsia="Calibri"/>
                <w:color w:val="000000"/>
                <w:sz w:val="16"/>
                <w:szCs w:val="16"/>
                <w:lang w:val="en-US" w:eastAsia="en-US"/>
              </w:rPr>
              <w:t>J</w:t>
            </w:r>
            <w:r w:rsidRPr="00E6759D">
              <w:rPr>
                <w:rFonts w:eastAsia="Calibri"/>
                <w:color w:val="000000"/>
                <w:sz w:val="16"/>
                <w:szCs w:val="16"/>
                <w:lang w:val="en-US" w:eastAsia="en-US"/>
              </w:rPr>
              <w:t>)</w:t>
            </w:r>
          </w:p>
        </w:tc>
        <w:tc>
          <w:tcPr>
            <w:tcW w:w="1350" w:type="dxa"/>
            <w:tcMar>
              <w:left w:w="58" w:type="dxa"/>
              <w:right w:w="58" w:type="dxa"/>
            </w:tcMar>
            <w:vAlign w:val="bottom"/>
          </w:tcPr>
          <w:p w14:paraId="674B683A" w14:textId="77777777" w:rsidR="00CB085B" w:rsidRDefault="00CB085B" w:rsidP="005C0EB9">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 xml:space="preserve">Minimum LED Efficacy </w:t>
            </w:r>
          </w:p>
          <w:p w14:paraId="2DB3CCD3" w14:textId="6E91B7F7" w:rsidR="00CB085B" w:rsidRPr="00E6759D" w:rsidRDefault="00CB085B" w:rsidP="005C0EB9">
            <w:pPr>
              <w:keepNext/>
              <w:autoSpaceDE w:val="0"/>
              <w:autoSpaceDN w:val="0"/>
              <w:adjustRightInd w:val="0"/>
              <w:jc w:val="center"/>
              <w:rPr>
                <w:rFonts w:eastAsia="Calibri"/>
                <w:color w:val="000000"/>
                <w:sz w:val="16"/>
                <w:szCs w:val="16"/>
                <w:vertAlign w:val="superscript"/>
                <w:lang w:val="en-US" w:eastAsia="en-US"/>
              </w:rPr>
            </w:pPr>
            <w:r w:rsidRPr="00E6759D">
              <w:rPr>
                <w:rFonts w:eastAsia="Calibri"/>
                <w:color w:val="000000"/>
                <w:sz w:val="16"/>
                <w:szCs w:val="16"/>
                <w:lang w:val="en-US" w:eastAsia="en-US"/>
              </w:rPr>
              <w:t>(µmol/</w:t>
            </w:r>
            <w:r>
              <w:rPr>
                <w:rFonts w:eastAsia="Calibri"/>
                <w:color w:val="000000"/>
                <w:sz w:val="16"/>
                <w:szCs w:val="16"/>
                <w:lang w:val="en-US" w:eastAsia="en-US"/>
              </w:rPr>
              <w:t>J</w:t>
            </w:r>
            <w:r w:rsidRPr="00E6759D">
              <w:rPr>
                <w:rFonts w:eastAsia="Calibri"/>
                <w:color w:val="000000"/>
                <w:sz w:val="16"/>
                <w:szCs w:val="16"/>
                <w:lang w:val="en-US" w:eastAsia="en-US"/>
              </w:rPr>
              <w:t>)</w:t>
            </w:r>
          </w:p>
        </w:tc>
      </w:tr>
      <w:tr w:rsidR="00CB085B" w:rsidRPr="00E6759D" w14:paraId="06CE6835" w14:textId="77777777" w:rsidTr="005C0EB9">
        <w:trPr>
          <w:trHeight w:val="21"/>
          <w:jc w:val="center"/>
        </w:trPr>
        <w:tc>
          <w:tcPr>
            <w:tcW w:w="700" w:type="dxa"/>
          </w:tcPr>
          <w:p w14:paraId="67A7D9E6" w14:textId="77777777" w:rsidR="00CB085B" w:rsidRPr="00E6759D" w:rsidRDefault="00CB085B" w:rsidP="005C0EB9">
            <w:pPr>
              <w:keepNext/>
              <w:autoSpaceDE w:val="0"/>
              <w:autoSpaceDN w:val="0"/>
              <w:adjustRightInd w:val="0"/>
              <w:jc w:val="right"/>
              <w:rPr>
                <w:rFonts w:eastAsia="Calibri"/>
                <w:color w:val="000000"/>
                <w:sz w:val="16"/>
                <w:szCs w:val="16"/>
                <w:lang w:val="en-US" w:eastAsia="en-US"/>
              </w:rPr>
            </w:pPr>
            <w:r w:rsidRPr="00E6759D">
              <w:rPr>
                <w:rFonts w:eastAsia="Calibri"/>
                <w:color w:val="000000"/>
                <w:sz w:val="16"/>
                <w:szCs w:val="16"/>
                <w:lang w:val="en-US" w:eastAsia="en-US"/>
              </w:rPr>
              <w:t>2023</w:t>
            </w:r>
          </w:p>
        </w:tc>
        <w:tc>
          <w:tcPr>
            <w:tcW w:w="866" w:type="dxa"/>
          </w:tcPr>
          <w:p w14:paraId="2D5F4DE2" w14:textId="77777777" w:rsidR="00CB085B" w:rsidRPr="00E6759D" w:rsidRDefault="00CB085B" w:rsidP="005C0EB9">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75%</w:t>
            </w:r>
          </w:p>
        </w:tc>
        <w:tc>
          <w:tcPr>
            <w:tcW w:w="1251" w:type="dxa"/>
          </w:tcPr>
          <w:p w14:paraId="3C3B9E36" w14:textId="77777777" w:rsidR="00CB085B" w:rsidRPr="00E6759D" w:rsidRDefault="00CB085B" w:rsidP="005C0EB9">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1.9</w:t>
            </w:r>
          </w:p>
        </w:tc>
        <w:tc>
          <w:tcPr>
            <w:tcW w:w="1315" w:type="dxa"/>
          </w:tcPr>
          <w:p w14:paraId="56313F8E" w14:textId="77777777" w:rsidR="00CB085B" w:rsidRPr="00E6759D" w:rsidRDefault="00CB085B" w:rsidP="005C0EB9">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2.48</w:t>
            </w:r>
          </w:p>
        </w:tc>
        <w:tc>
          <w:tcPr>
            <w:tcW w:w="1263" w:type="dxa"/>
          </w:tcPr>
          <w:p w14:paraId="3A5FFE6E" w14:textId="77777777" w:rsidR="00CB085B" w:rsidRPr="00E6759D" w:rsidRDefault="00CB085B" w:rsidP="005C0EB9">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2.34</w:t>
            </w:r>
          </w:p>
        </w:tc>
        <w:tc>
          <w:tcPr>
            <w:tcW w:w="1350" w:type="dxa"/>
          </w:tcPr>
          <w:p w14:paraId="0FB0A59E" w14:textId="77777777" w:rsidR="00CB085B" w:rsidRPr="00E6759D" w:rsidRDefault="00CB085B" w:rsidP="005C0EB9">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2.76</w:t>
            </w:r>
          </w:p>
        </w:tc>
      </w:tr>
      <w:tr w:rsidR="00CB085B" w:rsidRPr="00E6759D" w14:paraId="32A6B9C2" w14:textId="77777777" w:rsidTr="005C0EB9">
        <w:trPr>
          <w:trHeight w:val="21"/>
          <w:jc w:val="center"/>
        </w:trPr>
        <w:tc>
          <w:tcPr>
            <w:tcW w:w="700" w:type="dxa"/>
          </w:tcPr>
          <w:p w14:paraId="37806982" w14:textId="77777777" w:rsidR="00CB085B" w:rsidRPr="00E6759D" w:rsidRDefault="00CB085B" w:rsidP="005C0EB9">
            <w:pPr>
              <w:keepNext/>
              <w:autoSpaceDE w:val="0"/>
              <w:autoSpaceDN w:val="0"/>
              <w:adjustRightInd w:val="0"/>
              <w:jc w:val="right"/>
              <w:rPr>
                <w:rFonts w:eastAsia="Calibri"/>
                <w:color w:val="000000"/>
                <w:sz w:val="16"/>
                <w:szCs w:val="16"/>
                <w:lang w:val="en-US" w:eastAsia="en-US"/>
              </w:rPr>
            </w:pPr>
            <w:r w:rsidRPr="00E6759D">
              <w:rPr>
                <w:rFonts w:eastAsia="Calibri"/>
                <w:color w:val="000000"/>
                <w:sz w:val="16"/>
                <w:szCs w:val="16"/>
                <w:lang w:val="en-US" w:eastAsia="en-US"/>
              </w:rPr>
              <w:t>2024</w:t>
            </w:r>
          </w:p>
        </w:tc>
        <w:tc>
          <w:tcPr>
            <w:tcW w:w="866" w:type="dxa"/>
          </w:tcPr>
          <w:p w14:paraId="545C792A" w14:textId="77777777" w:rsidR="00CB085B" w:rsidRPr="00E6759D" w:rsidRDefault="00CB085B" w:rsidP="005C0EB9">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87.5%</w:t>
            </w:r>
          </w:p>
        </w:tc>
        <w:tc>
          <w:tcPr>
            <w:tcW w:w="1251" w:type="dxa"/>
          </w:tcPr>
          <w:p w14:paraId="7AA13165" w14:textId="77777777" w:rsidR="00CB085B" w:rsidRPr="00E6759D" w:rsidRDefault="00CB085B" w:rsidP="005C0EB9">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1.9</w:t>
            </w:r>
          </w:p>
        </w:tc>
        <w:tc>
          <w:tcPr>
            <w:tcW w:w="1315" w:type="dxa"/>
          </w:tcPr>
          <w:p w14:paraId="14F0FA89" w14:textId="77777777" w:rsidR="00CB085B" w:rsidRPr="00E6759D" w:rsidRDefault="00CB085B" w:rsidP="005C0EB9">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2.52</w:t>
            </w:r>
          </w:p>
        </w:tc>
        <w:tc>
          <w:tcPr>
            <w:tcW w:w="1263" w:type="dxa"/>
          </w:tcPr>
          <w:p w14:paraId="7BC82392" w14:textId="77777777" w:rsidR="00CB085B" w:rsidRPr="00E6759D" w:rsidRDefault="00CB085B" w:rsidP="005C0EB9">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2.44</w:t>
            </w:r>
          </w:p>
        </w:tc>
        <w:tc>
          <w:tcPr>
            <w:tcW w:w="1350" w:type="dxa"/>
          </w:tcPr>
          <w:p w14:paraId="48099505" w14:textId="77777777" w:rsidR="00CB085B" w:rsidRPr="00E6759D" w:rsidRDefault="00CB085B" w:rsidP="005C0EB9">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2.86</w:t>
            </w:r>
          </w:p>
        </w:tc>
      </w:tr>
      <w:tr w:rsidR="00CB085B" w:rsidRPr="00E6759D" w14:paraId="2C7B3A1D" w14:textId="77777777" w:rsidTr="005C0EB9">
        <w:trPr>
          <w:trHeight w:val="21"/>
          <w:jc w:val="center"/>
        </w:trPr>
        <w:tc>
          <w:tcPr>
            <w:tcW w:w="700" w:type="dxa"/>
          </w:tcPr>
          <w:p w14:paraId="41311241" w14:textId="77777777" w:rsidR="00CB085B" w:rsidRPr="00E6759D" w:rsidRDefault="00CB085B" w:rsidP="005C0EB9">
            <w:pPr>
              <w:autoSpaceDE w:val="0"/>
              <w:autoSpaceDN w:val="0"/>
              <w:adjustRightInd w:val="0"/>
              <w:jc w:val="right"/>
              <w:rPr>
                <w:rFonts w:eastAsia="Calibri"/>
                <w:color w:val="000000"/>
                <w:sz w:val="16"/>
                <w:szCs w:val="16"/>
                <w:lang w:val="en-US" w:eastAsia="en-US"/>
              </w:rPr>
            </w:pPr>
            <w:r w:rsidRPr="00E6759D">
              <w:rPr>
                <w:rFonts w:eastAsia="Calibri"/>
                <w:color w:val="000000"/>
                <w:sz w:val="16"/>
                <w:szCs w:val="16"/>
                <w:lang w:val="en-US" w:eastAsia="en-US"/>
              </w:rPr>
              <w:t>2025</w:t>
            </w:r>
          </w:p>
        </w:tc>
        <w:tc>
          <w:tcPr>
            <w:tcW w:w="866" w:type="dxa"/>
          </w:tcPr>
          <w:p w14:paraId="12962C18" w14:textId="77777777" w:rsidR="00CB085B" w:rsidRPr="00E6759D" w:rsidRDefault="00CB085B" w:rsidP="005C0EB9">
            <w:pPr>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100%</w:t>
            </w:r>
          </w:p>
        </w:tc>
        <w:tc>
          <w:tcPr>
            <w:tcW w:w="1251" w:type="dxa"/>
          </w:tcPr>
          <w:p w14:paraId="26265E73" w14:textId="6BC25F82" w:rsidR="00CB085B" w:rsidRPr="00E6759D" w:rsidRDefault="00CB085B" w:rsidP="005C0EB9">
            <w:pPr>
              <w:autoSpaceDE w:val="0"/>
              <w:autoSpaceDN w:val="0"/>
              <w:adjustRightInd w:val="0"/>
              <w:jc w:val="center"/>
              <w:rPr>
                <w:rFonts w:eastAsia="Calibri"/>
                <w:color w:val="000000"/>
                <w:sz w:val="16"/>
                <w:szCs w:val="16"/>
                <w:lang w:val="en-US" w:eastAsia="en-US"/>
              </w:rPr>
            </w:pPr>
            <w:r>
              <w:rPr>
                <w:rFonts w:eastAsia="Calibri"/>
                <w:color w:val="000000"/>
                <w:sz w:val="16"/>
                <w:szCs w:val="16"/>
                <w:lang w:val="en-US" w:eastAsia="en-US"/>
              </w:rPr>
              <w:t>2.3</w:t>
            </w:r>
          </w:p>
        </w:tc>
        <w:tc>
          <w:tcPr>
            <w:tcW w:w="1315" w:type="dxa"/>
          </w:tcPr>
          <w:p w14:paraId="2902316E" w14:textId="77777777" w:rsidR="00CB085B" w:rsidRPr="00E6759D" w:rsidRDefault="00CB085B" w:rsidP="005C0EB9">
            <w:pPr>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2.56</w:t>
            </w:r>
          </w:p>
        </w:tc>
        <w:tc>
          <w:tcPr>
            <w:tcW w:w="1263" w:type="dxa"/>
          </w:tcPr>
          <w:p w14:paraId="542EFFA8" w14:textId="77777777" w:rsidR="00CB085B" w:rsidRPr="00E6759D" w:rsidRDefault="00CB085B" w:rsidP="005C0EB9">
            <w:pPr>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2.56</w:t>
            </w:r>
          </w:p>
        </w:tc>
        <w:tc>
          <w:tcPr>
            <w:tcW w:w="1350" w:type="dxa"/>
          </w:tcPr>
          <w:p w14:paraId="2A12C0CD" w14:textId="77777777" w:rsidR="00CB085B" w:rsidRPr="00E6759D" w:rsidRDefault="00CB085B" w:rsidP="005C0EB9">
            <w:pPr>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2.96</w:t>
            </w:r>
          </w:p>
        </w:tc>
      </w:tr>
    </w:tbl>
    <w:p w14:paraId="2D4E23BF" w14:textId="77777777" w:rsidR="00A97748" w:rsidRDefault="00A97748" w:rsidP="00863C6D">
      <w:pPr>
        <w:pStyle w:val="BodyText"/>
      </w:pPr>
    </w:p>
    <w:p w14:paraId="05905102" w14:textId="4D250B15" w:rsidR="00CB085B" w:rsidRPr="00E6759D" w:rsidRDefault="00CB085B" w:rsidP="00CB085B">
      <w:pPr>
        <w:pStyle w:val="Caption"/>
        <w:jc w:val="center"/>
        <w:rPr>
          <w:b w:val="0"/>
          <w:bCs/>
        </w:rPr>
      </w:pPr>
      <w:r>
        <w:t xml:space="preserve">Table </w:t>
      </w:r>
      <w:r>
        <w:fldChar w:fldCharType="begin"/>
      </w:r>
      <w:r>
        <w:instrText xml:space="preserve"> SEQ Table \* ARABIC </w:instrText>
      </w:r>
      <w:r>
        <w:fldChar w:fldCharType="separate"/>
      </w:r>
      <w:r>
        <w:rPr>
          <w:noProof/>
        </w:rPr>
        <w:t>2</w:t>
      </w:r>
      <w:r>
        <w:fldChar w:fldCharType="end"/>
      </w:r>
      <w:r>
        <w:t xml:space="preserve"> </w:t>
      </w:r>
      <w:r w:rsidRPr="00E6759D">
        <w:rPr>
          <w:b w:val="0"/>
          <w:bCs/>
        </w:rPr>
        <w:t>Standard Practice and Measure Eligibility Requirements</w:t>
      </w:r>
      <w:r>
        <w:rPr>
          <w:b w:val="0"/>
          <w:bCs/>
        </w:rPr>
        <w:t xml:space="preserve"> for Green</w:t>
      </w:r>
      <w:r w:rsidR="00311DD5">
        <w:rPr>
          <w:b w:val="0"/>
          <w:bCs/>
        </w:rPr>
        <w:t>h</w:t>
      </w:r>
      <w:r>
        <w:rPr>
          <w:b w:val="0"/>
          <w:bCs/>
        </w:rPr>
        <w:t>ouse Operation</w:t>
      </w:r>
    </w:p>
    <w:tbl>
      <w:tblPr>
        <w:tblW w:w="67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0"/>
        <w:gridCol w:w="866"/>
        <w:gridCol w:w="1251"/>
        <w:gridCol w:w="1315"/>
        <w:gridCol w:w="1263"/>
        <w:gridCol w:w="1350"/>
      </w:tblGrid>
      <w:tr w:rsidR="00CB085B" w:rsidRPr="00E6759D" w14:paraId="1E9DB23F" w14:textId="77777777" w:rsidTr="005C0EB9">
        <w:trPr>
          <w:trHeight w:val="21"/>
          <w:jc w:val="center"/>
        </w:trPr>
        <w:tc>
          <w:tcPr>
            <w:tcW w:w="700" w:type="dxa"/>
            <w:tcBorders>
              <w:bottom w:val="nil"/>
            </w:tcBorders>
          </w:tcPr>
          <w:p w14:paraId="0C806317" w14:textId="77777777" w:rsidR="00CB085B" w:rsidRPr="00E6759D" w:rsidRDefault="00CB085B" w:rsidP="005C0EB9">
            <w:pPr>
              <w:keepNext/>
              <w:autoSpaceDE w:val="0"/>
              <w:autoSpaceDN w:val="0"/>
              <w:adjustRightInd w:val="0"/>
              <w:jc w:val="right"/>
              <w:rPr>
                <w:rFonts w:eastAsia="Calibri"/>
                <w:color w:val="000000"/>
                <w:sz w:val="16"/>
                <w:szCs w:val="16"/>
                <w:lang w:eastAsia="en-US"/>
              </w:rPr>
            </w:pPr>
          </w:p>
        </w:tc>
        <w:tc>
          <w:tcPr>
            <w:tcW w:w="4695" w:type="dxa"/>
            <w:gridSpan w:val="4"/>
          </w:tcPr>
          <w:p w14:paraId="34662706" w14:textId="77777777" w:rsidR="00CB085B" w:rsidRPr="00E6759D" w:rsidRDefault="00CB085B" w:rsidP="005C0EB9">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Standard Practice</w:t>
            </w:r>
          </w:p>
        </w:tc>
        <w:tc>
          <w:tcPr>
            <w:tcW w:w="1350" w:type="dxa"/>
          </w:tcPr>
          <w:p w14:paraId="4DF3D776" w14:textId="77777777" w:rsidR="00CB085B" w:rsidRPr="00E6759D" w:rsidRDefault="00CB085B" w:rsidP="005C0EB9">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Measure</w:t>
            </w:r>
          </w:p>
        </w:tc>
      </w:tr>
      <w:tr w:rsidR="00CB085B" w:rsidRPr="00E6759D" w14:paraId="4414EDF4" w14:textId="77777777" w:rsidTr="005C0EB9">
        <w:trPr>
          <w:trHeight w:val="21"/>
          <w:jc w:val="center"/>
        </w:trPr>
        <w:tc>
          <w:tcPr>
            <w:tcW w:w="700" w:type="dxa"/>
            <w:tcBorders>
              <w:top w:val="nil"/>
            </w:tcBorders>
            <w:tcMar>
              <w:left w:w="58" w:type="dxa"/>
              <w:right w:w="58" w:type="dxa"/>
            </w:tcMar>
            <w:vAlign w:val="bottom"/>
          </w:tcPr>
          <w:p w14:paraId="22CBCF57" w14:textId="77777777" w:rsidR="00CB085B" w:rsidRPr="00E6759D" w:rsidRDefault="00CB085B" w:rsidP="005C0EB9">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Year</w:t>
            </w:r>
          </w:p>
        </w:tc>
        <w:tc>
          <w:tcPr>
            <w:tcW w:w="866" w:type="dxa"/>
            <w:tcMar>
              <w:left w:w="58" w:type="dxa"/>
              <w:right w:w="58" w:type="dxa"/>
            </w:tcMar>
            <w:vAlign w:val="bottom"/>
          </w:tcPr>
          <w:p w14:paraId="7FDDF5C6" w14:textId="77777777" w:rsidR="00CB085B" w:rsidRPr="00E6759D" w:rsidRDefault="00CB085B" w:rsidP="005C0EB9">
            <w:pPr>
              <w:keepNext/>
              <w:autoSpaceDE w:val="0"/>
              <w:autoSpaceDN w:val="0"/>
              <w:adjustRightInd w:val="0"/>
              <w:jc w:val="center"/>
              <w:rPr>
                <w:rFonts w:eastAsia="Calibri"/>
                <w:color w:val="000000"/>
                <w:sz w:val="16"/>
                <w:szCs w:val="16"/>
                <w:vertAlign w:val="superscript"/>
                <w:lang w:val="en-US" w:eastAsia="en-US"/>
              </w:rPr>
            </w:pPr>
            <w:r w:rsidRPr="00E6759D">
              <w:rPr>
                <w:rFonts w:eastAsia="Calibri"/>
                <w:color w:val="000000"/>
                <w:sz w:val="16"/>
                <w:szCs w:val="16"/>
                <w:lang w:val="en-US" w:eastAsia="en-US"/>
              </w:rPr>
              <w:t>LED Fraction</w:t>
            </w:r>
          </w:p>
        </w:tc>
        <w:tc>
          <w:tcPr>
            <w:tcW w:w="1251" w:type="dxa"/>
            <w:tcMar>
              <w:left w:w="58" w:type="dxa"/>
              <w:right w:w="58" w:type="dxa"/>
            </w:tcMar>
            <w:vAlign w:val="bottom"/>
          </w:tcPr>
          <w:p w14:paraId="012A9D7A" w14:textId="77777777" w:rsidR="00CB085B" w:rsidRPr="00E6759D" w:rsidRDefault="00CB085B" w:rsidP="005C0EB9">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Non-LED Efficacy (µmol/</w:t>
            </w:r>
            <w:r>
              <w:rPr>
                <w:rFonts w:eastAsia="Calibri"/>
                <w:color w:val="000000"/>
                <w:sz w:val="16"/>
                <w:szCs w:val="16"/>
                <w:lang w:val="en-US" w:eastAsia="en-US"/>
              </w:rPr>
              <w:t>J</w:t>
            </w:r>
            <w:r w:rsidRPr="00E6759D">
              <w:rPr>
                <w:rFonts w:eastAsia="Calibri"/>
                <w:color w:val="000000"/>
                <w:sz w:val="16"/>
                <w:szCs w:val="16"/>
                <w:lang w:val="en-US" w:eastAsia="en-US"/>
              </w:rPr>
              <w:t>)</w:t>
            </w:r>
          </w:p>
        </w:tc>
        <w:tc>
          <w:tcPr>
            <w:tcW w:w="1315" w:type="dxa"/>
            <w:tcMar>
              <w:left w:w="58" w:type="dxa"/>
              <w:right w:w="58" w:type="dxa"/>
            </w:tcMar>
            <w:vAlign w:val="bottom"/>
          </w:tcPr>
          <w:p w14:paraId="5AE7FE33" w14:textId="77777777" w:rsidR="00CB085B" w:rsidRPr="00E6759D" w:rsidRDefault="00CB085B" w:rsidP="005C0EB9">
            <w:pPr>
              <w:keepNext/>
              <w:autoSpaceDE w:val="0"/>
              <w:autoSpaceDN w:val="0"/>
              <w:adjustRightInd w:val="0"/>
              <w:jc w:val="center"/>
              <w:rPr>
                <w:rFonts w:eastAsia="Calibri"/>
                <w:color w:val="000000"/>
                <w:sz w:val="16"/>
                <w:szCs w:val="16"/>
                <w:vertAlign w:val="superscript"/>
                <w:lang w:val="en-US" w:eastAsia="en-US"/>
              </w:rPr>
            </w:pPr>
            <w:r w:rsidRPr="00E6759D">
              <w:rPr>
                <w:rFonts w:eastAsia="Calibri"/>
                <w:color w:val="000000"/>
                <w:sz w:val="16"/>
                <w:szCs w:val="16"/>
                <w:lang w:val="en-US" w:eastAsia="en-US"/>
              </w:rPr>
              <w:t>LED Efficacy (µmol/</w:t>
            </w:r>
            <w:r>
              <w:rPr>
                <w:rFonts w:eastAsia="Calibri"/>
                <w:color w:val="000000"/>
                <w:sz w:val="16"/>
                <w:szCs w:val="16"/>
                <w:lang w:val="en-US" w:eastAsia="en-US"/>
              </w:rPr>
              <w:t>J</w:t>
            </w:r>
            <w:r w:rsidRPr="00E6759D">
              <w:rPr>
                <w:rFonts w:eastAsia="Calibri"/>
                <w:color w:val="000000"/>
                <w:sz w:val="16"/>
                <w:szCs w:val="16"/>
                <w:lang w:val="en-US" w:eastAsia="en-US"/>
              </w:rPr>
              <w:t>)</w:t>
            </w:r>
          </w:p>
        </w:tc>
        <w:tc>
          <w:tcPr>
            <w:tcW w:w="1263" w:type="dxa"/>
            <w:tcMar>
              <w:left w:w="58" w:type="dxa"/>
              <w:right w:w="58" w:type="dxa"/>
            </w:tcMar>
            <w:vAlign w:val="bottom"/>
          </w:tcPr>
          <w:p w14:paraId="110FE32B" w14:textId="51F02EC9" w:rsidR="00CB085B" w:rsidRPr="00E6759D" w:rsidRDefault="00CB085B" w:rsidP="005C0EB9">
            <w:pPr>
              <w:keepNext/>
              <w:autoSpaceDE w:val="0"/>
              <w:autoSpaceDN w:val="0"/>
              <w:adjustRightInd w:val="0"/>
              <w:jc w:val="center"/>
              <w:rPr>
                <w:rFonts w:eastAsia="Calibri"/>
                <w:color w:val="000000"/>
                <w:sz w:val="16"/>
                <w:szCs w:val="16"/>
                <w:vertAlign w:val="superscript"/>
                <w:lang w:val="en-US" w:eastAsia="en-US"/>
              </w:rPr>
            </w:pPr>
            <w:r>
              <w:rPr>
                <w:rFonts w:eastAsia="Calibri"/>
                <w:color w:val="000000"/>
                <w:sz w:val="16"/>
                <w:szCs w:val="16"/>
                <w:lang w:val="en-US" w:eastAsia="en-US"/>
              </w:rPr>
              <w:t xml:space="preserve">Standard Practice </w:t>
            </w:r>
            <w:r w:rsidRPr="00E6759D">
              <w:rPr>
                <w:rFonts w:eastAsia="Calibri"/>
                <w:color w:val="000000"/>
                <w:sz w:val="16"/>
                <w:szCs w:val="16"/>
                <w:lang w:val="en-US" w:eastAsia="en-US"/>
              </w:rPr>
              <w:t>Efficacy (µmol/</w:t>
            </w:r>
            <w:r>
              <w:rPr>
                <w:rFonts w:eastAsia="Calibri"/>
                <w:color w:val="000000"/>
                <w:sz w:val="16"/>
                <w:szCs w:val="16"/>
                <w:lang w:val="en-US" w:eastAsia="en-US"/>
              </w:rPr>
              <w:t>J</w:t>
            </w:r>
            <w:r w:rsidRPr="00E6759D">
              <w:rPr>
                <w:rFonts w:eastAsia="Calibri"/>
                <w:color w:val="000000"/>
                <w:sz w:val="16"/>
                <w:szCs w:val="16"/>
                <w:lang w:val="en-US" w:eastAsia="en-US"/>
              </w:rPr>
              <w:t>)</w:t>
            </w:r>
          </w:p>
        </w:tc>
        <w:tc>
          <w:tcPr>
            <w:tcW w:w="1350" w:type="dxa"/>
            <w:tcMar>
              <w:left w:w="58" w:type="dxa"/>
              <w:right w:w="58" w:type="dxa"/>
            </w:tcMar>
            <w:vAlign w:val="bottom"/>
          </w:tcPr>
          <w:p w14:paraId="06CB54A9" w14:textId="77777777" w:rsidR="00CB085B" w:rsidRDefault="00CB085B" w:rsidP="005C0EB9">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 xml:space="preserve">Minimum LED Efficacy </w:t>
            </w:r>
          </w:p>
          <w:p w14:paraId="298A9222" w14:textId="52EA6FAE" w:rsidR="00CB085B" w:rsidRPr="00E6759D" w:rsidRDefault="00CB085B" w:rsidP="005C0EB9">
            <w:pPr>
              <w:keepNext/>
              <w:autoSpaceDE w:val="0"/>
              <w:autoSpaceDN w:val="0"/>
              <w:adjustRightInd w:val="0"/>
              <w:jc w:val="center"/>
              <w:rPr>
                <w:rFonts w:eastAsia="Calibri"/>
                <w:color w:val="000000"/>
                <w:sz w:val="16"/>
                <w:szCs w:val="16"/>
                <w:vertAlign w:val="superscript"/>
                <w:lang w:val="en-US" w:eastAsia="en-US"/>
              </w:rPr>
            </w:pPr>
            <w:r w:rsidRPr="00E6759D">
              <w:rPr>
                <w:rFonts w:eastAsia="Calibri"/>
                <w:color w:val="000000"/>
                <w:sz w:val="16"/>
                <w:szCs w:val="16"/>
                <w:lang w:val="en-US" w:eastAsia="en-US"/>
              </w:rPr>
              <w:t>(µmol/</w:t>
            </w:r>
            <w:r>
              <w:rPr>
                <w:rFonts w:eastAsia="Calibri"/>
                <w:color w:val="000000"/>
                <w:sz w:val="16"/>
                <w:szCs w:val="16"/>
                <w:lang w:val="en-US" w:eastAsia="en-US"/>
              </w:rPr>
              <w:t>J</w:t>
            </w:r>
            <w:r w:rsidRPr="00E6759D">
              <w:rPr>
                <w:rFonts w:eastAsia="Calibri"/>
                <w:color w:val="000000"/>
                <w:sz w:val="16"/>
                <w:szCs w:val="16"/>
                <w:lang w:val="en-US" w:eastAsia="en-US"/>
              </w:rPr>
              <w:t>)</w:t>
            </w:r>
          </w:p>
        </w:tc>
      </w:tr>
      <w:tr w:rsidR="00CB085B" w:rsidRPr="00E6759D" w14:paraId="2BFD5C47" w14:textId="77777777" w:rsidTr="005C0EB9">
        <w:trPr>
          <w:trHeight w:val="21"/>
          <w:jc w:val="center"/>
        </w:trPr>
        <w:tc>
          <w:tcPr>
            <w:tcW w:w="700" w:type="dxa"/>
          </w:tcPr>
          <w:p w14:paraId="71F98E0B" w14:textId="77777777" w:rsidR="00CB085B" w:rsidRPr="00E6759D" w:rsidRDefault="00CB085B" w:rsidP="005C0EB9">
            <w:pPr>
              <w:keepNext/>
              <w:autoSpaceDE w:val="0"/>
              <w:autoSpaceDN w:val="0"/>
              <w:adjustRightInd w:val="0"/>
              <w:jc w:val="right"/>
              <w:rPr>
                <w:rFonts w:eastAsia="Calibri"/>
                <w:color w:val="000000"/>
                <w:sz w:val="16"/>
                <w:szCs w:val="16"/>
                <w:lang w:val="en-US" w:eastAsia="en-US"/>
              </w:rPr>
            </w:pPr>
            <w:r w:rsidRPr="00E6759D">
              <w:rPr>
                <w:rFonts w:eastAsia="Calibri"/>
                <w:color w:val="000000"/>
                <w:sz w:val="16"/>
                <w:szCs w:val="16"/>
                <w:lang w:val="en-US" w:eastAsia="en-US"/>
              </w:rPr>
              <w:t>2023</w:t>
            </w:r>
          </w:p>
        </w:tc>
        <w:tc>
          <w:tcPr>
            <w:tcW w:w="866" w:type="dxa"/>
          </w:tcPr>
          <w:p w14:paraId="0DCB2520" w14:textId="77777777" w:rsidR="00CB085B" w:rsidRPr="00E6759D" w:rsidRDefault="00CB085B" w:rsidP="005C0EB9">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75%</w:t>
            </w:r>
          </w:p>
        </w:tc>
        <w:tc>
          <w:tcPr>
            <w:tcW w:w="1251" w:type="dxa"/>
          </w:tcPr>
          <w:p w14:paraId="455BEA1B" w14:textId="5AB6EE8C" w:rsidR="00CB085B" w:rsidRPr="00E6759D" w:rsidRDefault="00CB085B" w:rsidP="005C0EB9">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1.</w:t>
            </w:r>
            <w:r>
              <w:rPr>
                <w:rFonts w:eastAsia="Calibri"/>
                <w:color w:val="000000"/>
                <w:sz w:val="16"/>
                <w:szCs w:val="16"/>
                <w:lang w:val="en-US" w:eastAsia="en-US"/>
              </w:rPr>
              <w:t>7</w:t>
            </w:r>
          </w:p>
        </w:tc>
        <w:tc>
          <w:tcPr>
            <w:tcW w:w="1315" w:type="dxa"/>
          </w:tcPr>
          <w:p w14:paraId="7230F176" w14:textId="77777777" w:rsidR="00CB085B" w:rsidRPr="00E6759D" w:rsidRDefault="00CB085B" w:rsidP="005C0EB9">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2.48</w:t>
            </w:r>
          </w:p>
        </w:tc>
        <w:tc>
          <w:tcPr>
            <w:tcW w:w="1263" w:type="dxa"/>
          </w:tcPr>
          <w:p w14:paraId="5AAC2C09" w14:textId="56CD8CBB" w:rsidR="00CB085B" w:rsidRPr="00E6759D" w:rsidRDefault="00CB085B" w:rsidP="005C0EB9">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2.</w:t>
            </w:r>
            <w:r>
              <w:rPr>
                <w:rFonts w:eastAsia="Calibri"/>
                <w:color w:val="000000"/>
                <w:sz w:val="16"/>
                <w:szCs w:val="16"/>
                <w:lang w:val="en-US" w:eastAsia="en-US"/>
              </w:rPr>
              <w:t>29</w:t>
            </w:r>
          </w:p>
        </w:tc>
        <w:tc>
          <w:tcPr>
            <w:tcW w:w="1350" w:type="dxa"/>
          </w:tcPr>
          <w:p w14:paraId="1A222BF7" w14:textId="77777777" w:rsidR="00CB085B" w:rsidRPr="00E6759D" w:rsidRDefault="00CB085B" w:rsidP="005C0EB9">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2.76</w:t>
            </w:r>
          </w:p>
        </w:tc>
      </w:tr>
      <w:tr w:rsidR="00CB085B" w:rsidRPr="00E6759D" w14:paraId="7AC85186" w14:textId="77777777" w:rsidTr="005C0EB9">
        <w:trPr>
          <w:trHeight w:val="21"/>
          <w:jc w:val="center"/>
        </w:trPr>
        <w:tc>
          <w:tcPr>
            <w:tcW w:w="700" w:type="dxa"/>
          </w:tcPr>
          <w:p w14:paraId="31C9D674" w14:textId="77777777" w:rsidR="00CB085B" w:rsidRPr="00E6759D" w:rsidRDefault="00CB085B" w:rsidP="005C0EB9">
            <w:pPr>
              <w:keepNext/>
              <w:autoSpaceDE w:val="0"/>
              <w:autoSpaceDN w:val="0"/>
              <w:adjustRightInd w:val="0"/>
              <w:jc w:val="right"/>
              <w:rPr>
                <w:rFonts w:eastAsia="Calibri"/>
                <w:color w:val="000000"/>
                <w:sz w:val="16"/>
                <w:szCs w:val="16"/>
                <w:lang w:val="en-US" w:eastAsia="en-US"/>
              </w:rPr>
            </w:pPr>
            <w:r w:rsidRPr="00E6759D">
              <w:rPr>
                <w:rFonts w:eastAsia="Calibri"/>
                <w:color w:val="000000"/>
                <w:sz w:val="16"/>
                <w:szCs w:val="16"/>
                <w:lang w:val="en-US" w:eastAsia="en-US"/>
              </w:rPr>
              <w:t>2024</w:t>
            </w:r>
          </w:p>
        </w:tc>
        <w:tc>
          <w:tcPr>
            <w:tcW w:w="866" w:type="dxa"/>
          </w:tcPr>
          <w:p w14:paraId="2734DEA2" w14:textId="77777777" w:rsidR="00CB085B" w:rsidRPr="00E6759D" w:rsidRDefault="00CB085B" w:rsidP="005C0EB9">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87.5%</w:t>
            </w:r>
          </w:p>
        </w:tc>
        <w:tc>
          <w:tcPr>
            <w:tcW w:w="1251" w:type="dxa"/>
          </w:tcPr>
          <w:p w14:paraId="324DB30F" w14:textId="54E1AAF7" w:rsidR="00CB085B" w:rsidRPr="00E6759D" w:rsidRDefault="00CB085B" w:rsidP="005C0EB9">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1.</w:t>
            </w:r>
            <w:r>
              <w:rPr>
                <w:rFonts w:eastAsia="Calibri"/>
                <w:color w:val="000000"/>
                <w:sz w:val="16"/>
                <w:szCs w:val="16"/>
                <w:lang w:val="en-US" w:eastAsia="en-US"/>
              </w:rPr>
              <w:t>7</w:t>
            </w:r>
          </w:p>
        </w:tc>
        <w:tc>
          <w:tcPr>
            <w:tcW w:w="1315" w:type="dxa"/>
          </w:tcPr>
          <w:p w14:paraId="69DB27DB" w14:textId="77777777" w:rsidR="00CB085B" w:rsidRPr="00E6759D" w:rsidRDefault="00CB085B" w:rsidP="005C0EB9">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2.52</w:t>
            </w:r>
          </w:p>
        </w:tc>
        <w:tc>
          <w:tcPr>
            <w:tcW w:w="1263" w:type="dxa"/>
          </w:tcPr>
          <w:p w14:paraId="1794DB7F" w14:textId="69014863" w:rsidR="00CB085B" w:rsidRPr="00E6759D" w:rsidRDefault="00CB085B" w:rsidP="005C0EB9">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2.4</w:t>
            </w:r>
            <w:r>
              <w:rPr>
                <w:rFonts w:eastAsia="Calibri"/>
                <w:color w:val="000000"/>
                <w:sz w:val="16"/>
                <w:szCs w:val="16"/>
                <w:lang w:val="en-US" w:eastAsia="en-US"/>
              </w:rPr>
              <w:t>2</w:t>
            </w:r>
          </w:p>
        </w:tc>
        <w:tc>
          <w:tcPr>
            <w:tcW w:w="1350" w:type="dxa"/>
          </w:tcPr>
          <w:p w14:paraId="44B54FEF" w14:textId="77777777" w:rsidR="00CB085B" w:rsidRPr="00E6759D" w:rsidRDefault="00CB085B" w:rsidP="005C0EB9">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2.86</w:t>
            </w:r>
          </w:p>
        </w:tc>
      </w:tr>
      <w:tr w:rsidR="00CB085B" w:rsidRPr="00E6759D" w14:paraId="56FCBC2D" w14:textId="77777777" w:rsidTr="005C0EB9">
        <w:trPr>
          <w:trHeight w:val="21"/>
          <w:jc w:val="center"/>
        </w:trPr>
        <w:tc>
          <w:tcPr>
            <w:tcW w:w="700" w:type="dxa"/>
          </w:tcPr>
          <w:p w14:paraId="71EC6961" w14:textId="77777777" w:rsidR="00CB085B" w:rsidRPr="00E6759D" w:rsidRDefault="00CB085B" w:rsidP="005C0EB9">
            <w:pPr>
              <w:autoSpaceDE w:val="0"/>
              <w:autoSpaceDN w:val="0"/>
              <w:adjustRightInd w:val="0"/>
              <w:jc w:val="right"/>
              <w:rPr>
                <w:rFonts w:eastAsia="Calibri"/>
                <w:color w:val="000000"/>
                <w:sz w:val="16"/>
                <w:szCs w:val="16"/>
                <w:lang w:val="en-US" w:eastAsia="en-US"/>
              </w:rPr>
            </w:pPr>
            <w:r w:rsidRPr="00E6759D">
              <w:rPr>
                <w:rFonts w:eastAsia="Calibri"/>
                <w:color w:val="000000"/>
                <w:sz w:val="16"/>
                <w:szCs w:val="16"/>
                <w:lang w:val="en-US" w:eastAsia="en-US"/>
              </w:rPr>
              <w:t>2025</w:t>
            </w:r>
          </w:p>
        </w:tc>
        <w:tc>
          <w:tcPr>
            <w:tcW w:w="866" w:type="dxa"/>
          </w:tcPr>
          <w:p w14:paraId="15939711" w14:textId="77777777" w:rsidR="00CB085B" w:rsidRPr="00E6759D" w:rsidRDefault="00CB085B" w:rsidP="005C0EB9">
            <w:pPr>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100%</w:t>
            </w:r>
          </w:p>
        </w:tc>
        <w:tc>
          <w:tcPr>
            <w:tcW w:w="1251" w:type="dxa"/>
          </w:tcPr>
          <w:p w14:paraId="5A171F25" w14:textId="77777777" w:rsidR="00CB085B" w:rsidRPr="00E6759D" w:rsidRDefault="00CB085B" w:rsidP="005C0EB9">
            <w:pPr>
              <w:autoSpaceDE w:val="0"/>
              <w:autoSpaceDN w:val="0"/>
              <w:adjustRightInd w:val="0"/>
              <w:jc w:val="center"/>
              <w:rPr>
                <w:rFonts w:eastAsia="Calibri"/>
                <w:color w:val="000000"/>
                <w:sz w:val="16"/>
                <w:szCs w:val="16"/>
                <w:lang w:val="en-US" w:eastAsia="en-US"/>
              </w:rPr>
            </w:pPr>
            <w:r>
              <w:rPr>
                <w:rFonts w:eastAsia="Calibri"/>
                <w:color w:val="000000"/>
                <w:sz w:val="16"/>
                <w:szCs w:val="16"/>
                <w:lang w:val="en-US" w:eastAsia="en-US"/>
              </w:rPr>
              <w:t>2.3</w:t>
            </w:r>
          </w:p>
        </w:tc>
        <w:tc>
          <w:tcPr>
            <w:tcW w:w="1315" w:type="dxa"/>
          </w:tcPr>
          <w:p w14:paraId="4412C295" w14:textId="77777777" w:rsidR="00CB085B" w:rsidRPr="00E6759D" w:rsidRDefault="00CB085B" w:rsidP="005C0EB9">
            <w:pPr>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2.56</w:t>
            </w:r>
          </w:p>
        </w:tc>
        <w:tc>
          <w:tcPr>
            <w:tcW w:w="1263" w:type="dxa"/>
          </w:tcPr>
          <w:p w14:paraId="1EBF9670" w14:textId="77777777" w:rsidR="00CB085B" w:rsidRPr="00E6759D" w:rsidRDefault="00CB085B" w:rsidP="005C0EB9">
            <w:pPr>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2.56</w:t>
            </w:r>
          </w:p>
        </w:tc>
        <w:tc>
          <w:tcPr>
            <w:tcW w:w="1350" w:type="dxa"/>
          </w:tcPr>
          <w:p w14:paraId="36FB0507" w14:textId="77777777" w:rsidR="00CB085B" w:rsidRPr="00E6759D" w:rsidRDefault="00CB085B" w:rsidP="005C0EB9">
            <w:pPr>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2.96</w:t>
            </w:r>
          </w:p>
        </w:tc>
      </w:tr>
    </w:tbl>
    <w:p w14:paraId="48977375" w14:textId="77777777" w:rsidR="00CB085B" w:rsidRDefault="00CB085B" w:rsidP="00CB085B">
      <w:pPr>
        <w:pStyle w:val="Caption"/>
        <w:jc w:val="center"/>
      </w:pPr>
    </w:p>
    <w:p w14:paraId="10F08421" w14:textId="77777777" w:rsidR="00CB085B" w:rsidRDefault="00CB085B" w:rsidP="00CB085B">
      <w:pPr>
        <w:pStyle w:val="Caption"/>
        <w:jc w:val="center"/>
      </w:pPr>
    </w:p>
    <w:p w14:paraId="3E1946F5" w14:textId="07C1AA80" w:rsidR="00CB085B" w:rsidRPr="00E6759D" w:rsidRDefault="00CB085B" w:rsidP="00CB085B">
      <w:pPr>
        <w:pStyle w:val="Caption"/>
        <w:jc w:val="center"/>
        <w:rPr>
          <w:b w:val="0"/>
          <w:bCs/>
        </w:rPr>
      </w:pPr>
      <w:r>
        <w:t xml:space="preserve">Table </w:t>
      </w:r>
      <w:r>
        <w:fldChar w:fldCharType="begin"/>
      </w:r>
      <w:r>
        <w:instrText xml:space="preserve"> SEQ Table \* ARABIC </w:instrText>
      </w:r>
      <w:r>
        <w:fldChar w:fldCharType="separate"/>
      </w:r>
      <w:r>
        <w:rPr>
          <w:noProof/>
        </w:rPr>
        <w:t>3</w:t>
      </w:r>
      <w:r>
        <w:fldChar w:fldCharType="end"/>
      </w:r>
      <w:r>
        <w:t xml:space="preserve"> </w:t>
      </w:r>
      <w:r w:rsidRPr="00E6759D">
        <w:rPr>
          <w:b w:val="0"/>
          <w:bCs/>
        </w:rPr>
        <w:t>Standard Practice and Measure Eligibility Requirements</w:t>
      </w:r>
      <w:r>
        <w:rPr>
          <w:b w:val="0"/>
          <w:bCs/>
        </w:rPr>
        <w:t xml:space="preserve"> for Stacked Operation</w:t>
      </w:r>
    </w:p>
    <w:tbl>
      <w:tblPr>
        <w:tblW w:w="67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0"/>
        <w:gridCol w:w="866"/>
        <w:gridCol w:w="1251"/>
        <w:gridCol w:w="1315"/>
        <w:gridCol w:w="1263"/>
        <w:gridCol w:w="1350"/>
      </w:tblGrid>
      <w:tr w:rsidR="00CB085B" w:rsidRPr="00E6759D" w14:paraId="602160CE" w14:textId="77777777" w:rsidTr="005C0EB9">
        <w:trPr>
          <w:trHeight w:val="21"/>
          <w:jc w:val="center"/>
        </w:trPr>
        <w:tc>
          <w:tcPr>
            <w:tcW w:w="700" w:type="dxa"/>
            <w:tcBorders>
              <w:bottom w:val="nil"/>
            </w:tcBorders>
          </w:tcPr>
          <w:p w14:paraId="6AC3F70C" w14:textId="77777777" w:rsidR="00CB085B" w:rsidRPr="00E6759D" w:rsidRDefault="00CB085B" w:rsidP="005C0EB9">
            <w:pPr>
              <w:keepNext/>
              <w:autoSpaceDE w:val="0"/>
              <w:autoSpaceDN w:val="0"/>
              <w:adjustRightInd w:val="0"/>
              <w:jc w:val="right"/>
              <w:rPr>
                <w:rFonts w:eastAsia="Calibri"/>
                <w:color w:val="000000"/>
                <w:sz w:val="16"/>
                <w:szCs w:val="16"/>
                <w:lang w:eastAsia="en-US"/>
              </w:rPr>
            </w:pPr>
          </w:p>
        </w:tc>
        <w:tc>
          <w:tcPr>
            <w:tcW w:w="4695" w:type="dxa"/>
            <w:gridSpan w:val="4"/>
          </w:tcPr>
          <w:p w14:paraId="7AE98396" w14:textId="77777777" w:rsidR="00CB085B" w:rsidRPr="00E6759D" w:rsidRDefault="00CB085B" w:rsidP="005C0EB9">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Standard Practice</w:t>
            </w:r>
          </w:p>
        </w:tc>
        <w:tc>
          <w:tcPr>
            <w:tcW w:w="1350" w:type="dxa"/>
          </w:tcPr>
          <w:p w14:paraId="6B6A17D6" w14:textId="77777777" w:rsidR="00CB085B" w:rsidRPr="00E6759D" w:rsidRDefault="00CB085B" w:rsidP="005C0EB9">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Measure</w:t>
            </w:r>
          </w:p>
        </w:tc>
      </w:tr>
      <w:tr w:rsidR="00CB085B" w:rsidRPr="00E6759D" w14:paraId="43761DDF" w14:textId="77777777" w:rsidTr="005C0EB9">
        <w:trPr>
          <w:trHeight w:val="21"/>
          <w:jc w:val="center"/>
        </w:trPr>
        <w:tc>
          <w:tcPr>
            <w:tcW w:w="700" w:type="dxa"/>
            <w:tcBorders>
              <w:top w:val="nil"/>
            </w:tcBorders>
            <w:tcMar>
              <w:left w:w="58" w:type="dxa"/>
              <w:right w:w="58" w:type="dxa"/>
            </w:tcMar>
            <w:vAlign w:val="bottom"/>
          </w:tcPr>
          <w:p w14:paraId="7B8BA69C" w14:textId="77777777" w:rsidR="00CB085B" w:rsidRPr="00E6759D" w:rsidRDefault="00CB085B" w:rsidP="005C0EB9">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Year</w:t>
            </w:r>
          </w:p>
        </w:tc>
        <w:tc>
          <w:tcPr>
            <w:tcW w:w="866" w:type="dxa"/>
            <w:tcMar>
              <w:left w:w="58" w:type="dxa"/>
              <w:right w:w="58" w:type="dxa"/>
            </w:tcMar>
            <w:vAlign w:val="bottom"/>
          </w:tcPr>
          <w:p w14:paraId="37839E77" w14:textId="77777777" w:rsidR="00CB085B" w:rsidRPr="00E6759D" w:rsidRDefault="00CB085B" w:rsidP="005C0EB9">
            <w:pPr>
              <w:keepNext/>
              <w:autoSpaceDE w:val="0"/>
              <w:autoSpaceDN w:val="0"/>
              <w:adjustRightInd w:val="0"/>
              <w:jc w:val="center"/>
              <w:rPr>
                <w:rFonts w:eastAsia="Calibri"/>
                <w:color w:val="000000"/>
                <w:sz w:val="16"/>
                <w:szCs w:val="16"/>
                <w:vertAlign w:val="superscript"/>
                <w:lang w:val="en-US" w:eastAsia="en-US"/>
              </w:rPr>
            </w:pPr>
            <w:r w:rsidRPr="00E6759D">
              <w:rPr>
                <w:rFonts w:eastAsia="Calibri"/>
                <w:color w:val="000000"/>
                <w:sz w:val="16"/>
                <w:szCs w:val="16"/>
                <w:lang w:val="en-US" w:eastAsia="en-US"/>
              </w:rPr>
              <w:t>LED Fraction</w:t>
            </w:r>
          </w:p>
        </w:tc>
        <w:tc>
          <w:tcPr>
            <w:tcW w:w="1251" w:type="dxa"/>
            <w:tcMar>
              <w:left w:w="58" w:type="dxa"/>
              <w:right w:w="58" w:type="dxa"/>
            </w:tcMar>
            <w:vAlign w:val="bottom"/>
          </w:tcPr>
          <w:p w14:paraId="4F63155E" w14:textId="77777777" w:rsidR="00CB085B" w:rsidRPr="00E6759D" w:rsidRDefault="00CB085B" w:rsidP="005C0EB9">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Non-LED Efficacy (µmol/</w:t>
            </w:r>
            <w:r>
              <w:rPr>
                <w:rFonts w:eastAsia="Calibri"/>
                <w:color w:val="000000"/>
                <w:sz w:val="16"/>
                <w:szCs w:val="16"/>
                <w:lang w:val="en-US" w:eastAsia="en-US"/>
              </w:rPr>
              <w:t>J</w:t>
            </w:r>
            <w:r w:rsidRPr="00E6759D">
              <w:rPr>
                <w:rFonts w:eastAsia="Calibri"/>
                <w:color w:val="000000"/>
                <w:sz w:val="16"/>
                <w:szCs w:val="16"/>
                <w:lang w:val="en-US" w:eastAsia="en-US"/>
              </w:rPr>
              <w:t>)</w:t>
            </w:r>
          </w:p>
        </w:tc>
        <w:tc>
          <w:tcPr>
            <w:tcW w:w="1315" w:type="dxa"/>
            <w:tcMar>
              <w:left w:w="58" w:type="dxa"/>
              <w:right w:w="58" w:type="dxa"/>
            </w:tcMar>
            <w:vAlign w:val="bottom"/>
          </w:tcPr>
          <w:p w14:paraId="2737A4B2" w14:textId="77777777" w:rsidR="00CB085B" w:rsidRPr="00E6759D" w:rsidRDefault="00CB085B" w:rsidP="005C0EB9">
            <w:pPr>
              <w:keepNext/>
              <w:autoSpaceDE w:val="0"/>
              <w:autoSpaceDN w:val="0"/>
              <w:adjustRightInd w:val="0"/>
              <w:jc w:val="center"/>
              <w:rPr>
                <w:rFonts w:eastAsia="Calibri"/>
                <w:color w:val="000000"/>
                <w:sz w:val="16"/>
                <w:szCs w:val="16"/>
                <w:vertAlign w:val="superscript"/>
                <w:lang w:val="en-US" w:eastAsia="en-US"/>
              </w:rPr>
            </w:pPr>
            <w:r w:rsidRPr="00E6759D">
              <w:rPr>
                <w:rFonts w:eastAsia="Calibri"/>
                <w:color w:val="000000"/>
                <w:sz w:val="16"/>
                <w:szCs w:val="16"/>
                <w:lang w:val="en-US" w:eastAsia="en-US"/>
              </w:rPr>
              <w:t>LED Efficacy (µmol/</w:t>
            </w:r>
            <w:r>
              <w:rPr>
                <w:rFonts w:eastAsia="Calibri"/>
                <w:color w:val="000000"/>
                <w:sz w:val="16"/>
                <w:szCs w:val="16"/>
                <w:lang w:val="en-US" w:eastAsia="en-US"/>
              </w:rPr>
              <w:t>J</w:t>
            </w:r>
            <w:r w:rsidRPr="00E6759D">
              <w:rPr>
                <w:rFonts w:eastAsia="Calibri"/>
                <w:color w:val="000000"/>
                <w:sz w:val="16"/>
                <w:szCs w:val="16"/>
                <w:lang w:val="en-US" w:eastAsia="en-US"/>
              </w:rPr>
              <w:t>)</w:t>
            </w:r>
          </w:p>
        </w:tc>
        <w:tc>
          <w:tcPr>
            <w:tcW w:w="1263" w:type="dxa"/>
            <w:tcMar>
              <w:left w:w="58" w:type="dxa"/>
              <w:right w:w="58" w:type="dxa"/>
            </w:tcMar>
            <w:vAlign w:val="bottom"/>
          </w:tcPr>
          <w:p w14:paraId="1CB60992" w14:textId="53C243FD" w:rsidR="00CB085B" w:rsidRPr="00E6759D" w:rsidRDefault="00CB085B" w:rsidP="005C0EB9">
            <w:pPr>
              <w:keepNext/>
              <w:autoSpaceDE w:val="0"/>
              <w:autoSpaceDN w:val="0"/>
              <w:adjustRightInd w:val="0"/>
              <w:jc w:val="center"/>
              <w:rPr>
                <w:rFonts w:eastAsia="Calibri"/>
                <w:color w:val="000000"/>
                <w:sz w:val="16"/>
                <w:szCs w:val="16"/>
                <w:vertAlign w:val="superscript"/>
                <w:lang w:val="en-US" w:eastAsia="en-US"/>
              </w:rPr>
            </w:pPr>
            <w:r>
              <w:rPr>
                <w:rFonts w:eastAsia="Calibri"/>
                <w:color w:val="000000"/>
                <w:sz w:val="16"/>
                <w:szCs w:val="16"/>
                <w:lang w:val="en-US" w:eastAsia="en-US"/>
              </w:rPr>
              <w:t xml:space="preserve">Standard Practice </w:t>
            </w:r>
            <w:r w:rsidRPr="00E6759D">
              <w:rPr>
                <w:rFonts w:eastAsia="Calibri"/>
                <w:color w:val="000000"/>
                <w:sz w:val="16"/>
                <w:szCs w:val="16"/>
                <w:lang w:val="en-US" w:eastAsia="en-US"/>
              </w:rPr>
              <w:t>Efficacy (µmol/</w:t>
            </w:r>
            <w:r>
              <w:rPr>
                <w:rFonts w:eastAsia="Calibri"/>
                <w:color w:val="000000"/>
                <w:sz w:val="16"/>
                <w:szCs w:val="16"/>
                <w:lang w:val="en-US" w:eastAsia="en-US"/>
              </w:rPr>
              <w:t>J</w:t>
            </w:r>
            <w:r w:rsidRPr="00E6759D">
              <w:rPr>
                <w:rFonts w:eastAsia="Calibri"/>
                <w:color w:val="000000"/>
                <w:sz w:val="16"/>
                <w:szCs w:val="16"/>
                <w:lang w:val="en-US" w:eastAsia="en-US"/>
              </w:rPr>
              <w:t>))</w:t>
            </w:r>
          </w:p>
        </w:tc>
        <w:tc>
          <w:tcPr>
            <w:tcW w:w="1350" w:type="dxa"/>
            <w:tcMar>
              <w:left w:w="58" w:type="dxa"/>
              <w:right w:w="58" w:type="dxa"/>
            </w:tcMar>
            <w:vAlign w:val="bottom"/>
          </w:tcPr>
          <w:p w14:paraId="3538DF01" w14:textId="77777777" w:rsidR="00CB085B" w:rsidRDefault="00CB085B" w:rsidP="005C0EB9">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 xml:space="preserve">Minimum LED Efficacy </w:t>
            </w:r>
          </w:p>
          <w:p w14:paraId="0E99F5C4" w14:textId="5EB73353" w:rsidR="00CB085B" w:rsidRPr="00E6759D" w:rsidRDefault="00CB085B" w:rsidP="005C0EB9">
            <w:pPr>
              <w:keepNext/>
              <w:autoSpaceDE w:val="0"/>
              <w:autoSpaceDN w:val="0"/>
              <w:adjustRightInd w:val="0"/>
              <w:jc w:val="center"/>
              <w:rPr>
                <w:rFonts w:eastAsia="Calibri"/>
                <w:color w:val="000000"/>
                <w:sz w:val="16"/>
                <w:szCs w:val="16"/>
                <w:vertAlign w:val="superscript"/>
                <w:lang w:val="en-US" w:eastAsia="en-US"/>
              </w:rPr>
            </w:pPr>
            <w:r w:rsidRPr="00E6759D">
              <w:rPr>
                <w:rFonts w:eastAsia="Calibri"/>
                <w:color w:val="000000"/>
                <w:sz w:val="16"/>
                <w:szCs w:val="16"/>
                <w:lang w:val="en-US" w:eastAsia="en-US"/>
              </w:rPr>
              <w:t>(µmol/</w:t>
            </w:r>
            <w:r>
              <w:rPr>
                <w:rFonts w:eastAsia="Calibri"/>
                <w:color w:val="000000"/>
                <w:sz w:val="16"/>
                <w:szCs w:val="16"/>
                <w:lang w:val="en-US" w:eastAsia="en-US"/>
              </w:rPr>
              <w:t>J</w:t>
            </w:r>
            <w:r w:rsidRPr="00E6759D">
              <w:rPr>
                <w:rFonts w:eastAsia="Calibri"/>
                <w:color w:val="000000"/>
                <w:sz w:val="16"/>
                <w:szCs w:val="16"/>
                <w:lang w:val="en-US" w:eastAsia="en-US"/>
              </w:rPr>
              <w:t>)</w:t>
            </w:r>
          </w:p>
        </w:tc>
      </w:tr>
      <w:tr w:rsidR="00CB085B" w:rsidRPr="00E6759D" w14:paraId="68065A38" w14:textId="77777777" w:rsidTr="005C0EB9">
        <w:trPr>
          <w:trHeight w:val="21"/>
          <w:jc w:val="center"/>
        </w:trPr>
        <w:tc>
          <w:tcPr>
            <w:tcW w:w="700" w:type="dxa"/>
          </w:tcPr>
          <w:p w14:paraId="2564BA4C" w14:textId="77777777" w:rsidR="00CB085B" w:rsidRPr="00E6759D" w:rsidRDefault="00CB085B" w:rsidP="005C0EB9">
            <w:pPr>
              <w:keepNext/>
              <w:autoSpaceDE w:val="0"/>
              <w:autoSpaceDN w:val="0"/>
              <w:adjustRightInd w:val="0"/>
              <w:jc w:val="right"/>
              <w:rPr>
                <w:rFonts w:eastAsia="Calibri"/>
                <w:color w:val="000000"/>
                <w:sz w:val="16"/>
                <w:szCs w:val="16"/>
                <w:lang w:val="en-US" w:eastAsia="en-US"/>
              </w:rPr>
            </w:pPr>
            <w:r w:rsidRPr="00E6759D">
              <w:rPr>
                <w:rFonts w:eastAsia="Calibri"/>
                <w:color w:val="000000"/>
                <w:sz w:val="16"/>
                <w:szCs w:val="16"/>
                <w:lang w:val="en-US" w:eastAsia="en-US"/>
              </w:rPr>
              <w:t>2023</w:t>
            </w:r>
          </w:p>
        </w:tc>
        <w:tc>
          <w:tcPr>
            <w:tcW w:w="866" w:type="dxa"/>
          </w:tcPr>
          <w:p w14:paraId="244BB7A0" w14:textId="705839CD" w:rsidR="00CB085B" w:rsidRPr="00E6759D" w:rsidRDefault="00CB085B" w:rsidP="005C0EB9">
            <w:pPr>
              <w:keepNext/>
              <w:autoSpaceDE w:val="0"/>
              <w:autoSpaceDN w:val="0"/>
              <w:adjustRightInd w:val="0"/>
              <w:jc w:val="center"/>
              <w:rPr>
                <w:rFonts w:eastAsia="Calibri"/>
                <w:color w:val="000000"/>
                <w:sz w:val="16"/>
                <w:szCs w:val="16"/>
                <w:lang w:val="en-US" w:eastAsia="en-US"/>
              </w:rPr>
            </w:pPr>
            <w:r>
              <w:rPr>
                <w:rFonts w:eastAsia="Calibri"/>
                <w:color w:val="000000"/>
                <w:sz w:val="16"/>
                <w:szCs w:val="16"/>
                <w:lang w:val="en-US" w:eastAsia="en-US"/>
              </w:rPr>
              <w:t>100</w:t>
            </w:r>
            <w:r w:rsidRPr="00E6759D">
              <w:rPr>
                <w:rFonts w:eastAsia="Calibri"/>
                <w:color w:val="000000"/>
                <w:sz w:val="16"/>
                <w:szCs w:val="16"/>
                <w:lang w:val="en-US" w:eastAsia="en-US"/>
              </w:rPr>
              <w:t>%</w:t>
            </w:r>
          </w:p>
        </w:tc>
        <w:tc>
          <w:tcPr>
            <w:tcW w:w="1251" w:type="dxa"/>
          </w:tcPr>
          <w:p w14:paraId="07D02994" w14:textId="08B0D8F6" w:rsidR="00CB085B" w:rsidRPr="00E6759D" w:rsidRDefault="00CB085B" w:rsidP="005C0EB9">
            <w:pPr>
              <w:keepNext/>
              <w:autoSpaceDE w:val="0"/>
              <w:autoSpaceDN w:val="0"/>
              <w:adjustRightInd w:val="0"/>
              <w:jc w:val="center"/>
              <w:rPr>
                <w:rFonts w:eastAsia="Calibri"/>
                <w:color w:val="000000"/>
                <w:sz w:val="16"/>
                <w:szCs w:val="16"/>
                <w:lang w:val="en-US" w:eastAsia="en-US"/>
              </w:rPr>
            </w:pPr>
            <w:r>
              <w:rPr>
                <w:rFonts w:eastAsia="Calibri"/>
                <w:color w:val="000000"/>
                <w:sz w:val="16"/>
                <w:szCs w:val="16"/>
                <w:lang w:val="en-US" w:eastAsia="en-US"/>
              </w:rPr>
              <w:t>N/A</w:t>
            </w:r>
          </w:p>
        </w:tc>
        <w:tc>
          <w:tcPr>
            <w:tcW w:w="1315" w:type="dxa"/>
          </w:tcPr>
          <w:p w14:paraId="57D7CBEF" w14:textId="77777777" w:rsidR="00CB085B" w:rsidRPr="00E6759D" w:rsidRDefault="00CB085B" w:rsidP="005C0EB9">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2.48</w:t>
            </w:r>
          </w:p>
        </w:tc>
        <w:tc>
          <w:tcPr>
            <w:tcW w:w="1263" w:type="dxa"/>
          </w:tcPr>
          <w:p w14:paraId="0CB7805F" w14:textId="1AFE0903" w:rsidR="00CB085B" w:rsidRPr="00E6759D" w:rsidRDefault="00CB085B" w:rsidP="005C0EB9">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2.</w:t>
            </w:r>
            <w:r>
              <w:rPr>
                <w:rFonts w:eastAsia="Calibri"/>
                <w:color w:val="000000"/>
                <w:sz w:val="16"/>
                <w:szCs w:val="16"/>
                <w:lang w:val="en-US" w:eastAsia="en-US"/>
              </w:rPr>
              <w:t>48</w:t>
            </w:r>
          </w:p>
        </w:tc>
        <w:tc>
          <w:tcPr>
            <w:tcW w:w="1350" w:type="dxa"/>
          </w:tcPr>
          <w:p w14:paraId="76C4693E" w14:textId="77777777" w:rsidR="00CB085B" w:rsidRPr="00E6759D" w:rsidRDefault="00CB085B" w:rsidP="005C0EB9">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2.76</w:t>
            </w:r>
          </w:p>
        </w:tc>
      </w:tr>
      <w:tr w:rsidR="00CB085B" w:rsidRPr="00E6759D" w14:paraId="611C6CB0" w14:textId="77777777" w:rsidTr="005C0EB9">
        <w:trPr>
          <w:trHeight w:val="21"/>
          <w:jc w:val="center"/>
        </w:trPr>
        <w:tc>
          <w:tcPr>
            <w:tcW w:w="700" w:type="dxa"/>
          </w:tcPr>
          <w:p w14:paraId="56C0095C" w14:textId="77777777" w:rsidR="00CB085B" w:rsidRPr="00E6759D" w:rsidRDefault="00CB085B" w:rsidP="00CB085B">
            <w:pPr>
              <w:keepNext/>
              <w:autoSpaceDE w:val="0"/>
              <w:autoSpaceDN w:val="0"/>
              <w:adjustRightInd w:val="0"/>
              <w:jc w:val="right"/>
              <w:rPr>
                <w:rFonts w:eastAsia="Calibri"/>
                <w:color w:val="000000"/>
                <w:sz w:val="16"/>
                <w:szCs w:val="16"/>
                <w:lang w:val="en-US" w:eastAsia="en-US"/>
              </w:rPr>
            </w:pPr>
            <w:r w:rsidRPr="00E6759D">
              <w:rPr>
                <w:rFonts w:eastAsia="Calibri"/>
                <w:color w:val="000000"/>
                <w:sz w:val="16"/>
                <w:szCs w:val="16"/>
                <w:lang w:val="en-US" w:eastAsia="en-US"/>
              </w:rPr>
              <w:t>2024</w:t>
            </w:r>
          </w:p>
        </w:tc>
        <w:tc>
          <w:tcPr>
            <w:tcW w:w="866" w:type="dxa"/>
          </w:tcPr>
          <w:p w14:paraId="2033E14B" w14:textId="715442A1" w:rsidR="00CB085B" w:rsidRPr="00E6759D" w:rsidRDefault="00CB085B" w:rsidP="00CB085B">
            <w:pPr>
              <w:keepNext/>
              <w:autoSpaceDE w:val="0"/>
              <w:autoSpaceDN w:val="0"/>
              <w:adjustRightInd w:val="0"/>
              <w:jc w:val="center"/>
              <w:rPr>
                <w:rFonts w:eastAsia="Calibri"/>
                <w:color w:val="000000"/>
                <w:sz w:val="16"/>
                <w:szCs w:val="16"/>
                <w:lang w:val="en-US" w:eastAsia="en-US"/>
              </w:rPr>
            </w:pPr>
            <w:r>
              <w:rPr>
                <w:rFonts w:eastAsia="Calibri"/>
                <w:color w:val="000000"/>
                <w:sz w:val="16"/>
                <w:szCs w:val="16"/>
                <w:lang w:val="en-US" w:eastAsia="en-US"/>
              </w:rPr>
              <w:t>100</w:t>
            </w:r>
            <w:r w:rsidRPr="00E6759D">
              <w:rPr>
                <w:rFonts w:eastAsia="Calibri"/>
                <w:color w:val="000000"/>
                <w:sz w:val="16"/>
                <w:szCs w:val="16"/>
                <w:lang w:val="en-US" w:eastAsia="en-US"/>
              </w:rPr>
              <w:t>%</w:t>
            </w:r>
          </w:p>
        </w:tc>
        <w:tc>
          <w:tcPr>
            <w:tcW w:w="1251" w:type="dxa"/>
          </w:tcPr>
          <w:p w14:paraId="0156D00B" w14:textId="1E08578A" w:rsidR="00CB085B" w:rsidRPr="00E6759D" w:rsidRDefault="00CB085B" w:rsidP="00CB085B">
            <w:pPr>
              <w:keepNext/>
              <w:autoSpaceDE w:val="0"/>
              <w:autoSpaceDN w:val="0"/>
              <w:adjustRightInd w:val="0"/>
              <w:jc w:val="center"/>
              <w:rPr>
                <w:rFonts w:eastAsia="Calibri"/>
                <w:color w:val="000000"/>
                <w:sz w:val="16"/>
                <w:szCs w:val="16"/>
                <w:lang w:val="en-US" w:eastAsia="en-US"/>
              </w:rPr>
            </w:pPr>
            <w:r w:rsidRPr="001D7F05">
              <w:rPr>
                <w:rFonts w:eastAsia="Calibri"/>
                <w:color w:val="000000"/>
                <w:sz w:val="16"/>
                <w:szCs w:val="16"/>
                <w:lang w:val="en-US" w:eastAsia="en-US"/>
              </w:rPr>
              <w:t>N/A</w:t>
            </w:r>
          </w:p>
        </w:tc>
        <w:tc>
          <w:tcPr>
            <w:tcW w:w="1315" w:type="dxa"/>
          </w:tcPr>
          <w:p w14:paraId="7A77E8A5" w14:textId="77777777" w:rsidR="00CB085B" w:rsidRPr="00E6759D" w:rsidRDefault="00CB085B" w:rsidP="00CB085B">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2.52</w:t>
            </w:r>
          </w:p>
        </w:tc>
        <w:tc>
          <w:tcPr>
            <w:tcW w:w="1263" w:type="dxa"/>
          </w:tcPr>
          <w:p w14:paraId="6524FA0D" w14:textId="2EF07197" w:rsidR="00CB085B" w:rsidRPr="00E6759D" w:rsidRDefault="00CB085B" w:rsidP="00CB085B">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2.</w:t>
            </w:r>
            <w:r>
              <w:rPr>
                <w:rFonts w:eastAsia="Calibri"/>
                <w:color w:val="000000"/>
                <w:sz w:val="16"/>
                <w:szCs w:val="16"/>
                <w:lang w:val="en-US" w:eastAsia="en-US"/>
              </w:rPr>
              <w:t>52</w:t>
            </w:r>
          </w:p>
        </w:tc>
        <w:tc>
          <w:tcPr>
            <w:tcW w:w="1350" w:type="dxa"/>
          </w:tcPr>
          <w:p w14:paraId="5699B0B1" w14:textId="77777777" w:rsidR="00CB085B" w:rsidRPr="00E6759D" w:rsidRDefault="00CB085B" w:rsidP="00CB085B">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2.86</w:t>
            </w:r>
          </w:p>
        </w:tc>
      </w:tr>
      <w:tr w:rsidR="00CB085B" w:rsidRPr="00E6759D" w14:paraId="1C0B7440" w14:textId="77777777" w:rsidTr="005C0EB9">
        <w:trPr>
          <w:trHeight w:val="21"/>
          <w:jc w:val="center"/>
        </w:trPr>
        <w:tc>
          <w:tcPr>
            <w:tcW w:w="700" w:type="dxa"/>
          </w:tcPr>
          <w:p w14:paraId="1A82757B" w14:textId="77777777" w:rsidR="00CB085B" w:rsidRPr="00E6759D" w:rsidRDefault="00CB085B" w:rsidP="00CB085B">
            <w:pPr>
              <w:autoSpaceDE w:val="0"/>
              <w:autoSpaceDN w:val="0"/>
              <w:adjustRightInd w:val="0"/>
              <w:jc w:val="right"/>
              <w:rPr>
                <w:rFonts w:eastAsia="Calibri"/>
                <w:color w:val="000000"/>
                <w:sz w:val="16"/>
                <w:szCs w:val="16"/>
                <w:lang w:val="en-US" w:eastAsia="en-US"/>
              </w:rPr>
            </w:pPr>
            <w:r w:rsidRPr="00E6759D">
              <w:rPr>
                <w:rFonts w:eastAsia="Calibri"/>
                <w:color w:val="000000"/>
                <w:sz w:val="16"/>
                <w:szCs w:val="16"/>
                <w:lang w:val="en-US" w:eastAsia="en-US"/>
              </w:rPr>
              <w:t>2025</w:t>
            </w:r>
          </w:p>
        </w:tc>
        <w:tc>
          <w:tcPr>
            <w:tcW w:w="866" w:type="dxa"/>
          </w:tcPr>
          <w:p w14:paraId="19E1A57C" w14:textId="77777777" w:rsidR="00CB085B" w:rsidRPr="00E6759D" w:rsidRDefault="00CB085B" w:rsidP="00CB085B">
            <w:pPr>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100%</w:t>
            </w:r>
          </w:p>
        </w:tc>
        <w:tc>
          <w:tcPr>
            <w:tcW w:w="1251" w:type="dxa"/>
          </w:tcPr>
          <w:p w14:paraId="00964990" w14:textId="1088BD50" w:rsidR="00CB085B" w:rsidRPr="00E6759D" w:rsidRDefault="00CB085B" w:rsidP="00CB085B">
            <w:pPr>
              <w:autoSpaceDE w:val="0"/>
              <w:autoSpaceDN w:val="0"/>
              <w:adjustRightInd w:val="0"/>
              <w:jc w:val="center"/>
              <w:rPr>
                <w:rFonts w:eastAsia="Calibri"/>
                <w:color w:val="000000"/>
                <w:sz w:val="16"/>
                <w:szCs w:val="16"/>
                <w:lang w:val="en-US" w:eastAsia="en-US"/>
              </w:rPr>
            </w:pPr>
            <w:r w:rsidRPr="001D7F05">
              <w:rPr>
                <w:rFonts w:eastAsia="Calibri"/>
                <w:color w:val="000000"/>
                <w:sz w:val="16"/>
                <w:szCs w:val="16"/>
                <w:lang w:val="en-US" w:eastAsia="en-US"/>
              </w:rPr>
              <w:t>N/A</w:t>
            </w:r>
          </w:p>
        </w:tc>
        <w:tc>
          <w:tcPr>
            <w:tcW w:w="1315" w:type="dxa"/>
          </w:tcPr>
          <w:p w14:paraId="2090BFAE" w14:textId="77777777" w:rsidR="00CB085B" w:rsidRPr="00E6759D" w:rsidRDefault="00CB085B" w:rsidP="00CB085B">
            <w:pPr>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2.56</w:t>
            </w:r>
          </w:p>
        </w:tc>
        <w:tc>
          <w:tcPr>
            <w:tcW w:w="1263" w:type="dxa"/>
          </w:tcPr>
          <w:p w14:paraId="6C1629AF" w14:textId="77777777" w:rsidR="00CB085B" w:rsidRPr="00E6759D" w:rsidRDefault="00CB085B" w:rsidP="00CB085B">
            <w:pPr>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2.56</w:t>
            </w:r>
          </w:p>
        </w:tc>
        <w:tc>
          <w:tcPr>
            <w:tcW w:w="1350" w:type="dxa"/>
          </w:tcPr>
          <w:p w14:paraId="294A221D" w14:textId="77777777" w:rsidR="00CB085B" w:rsidRPr="00E6759D" w:rsidRDefault="00CB085B" w:rsidP="00CB085B">
            <w:pPr>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2.96</w:t>
            </w:r>
          </w:p>
        </w:tc>
      </w:tr>
    </w:tbl>
    <w:p w14:paraId="09BAD133" w14:textId="4BE3CD03" w:rsidR="00355415" w:rsidRDefault="00355415" w:rsidP="00863C6D">
      <w:pPr>
        <w:pStyle w:val="BodyText"/>
      </w:pPr>
      <w:r>
        <w:t>We also approve</w:t>
      </w:r>
      <w:r w:rsidRPr="00355415">
        <w:t xml:space="preserve"> an annual improvement rate of 0.04 µmol/J for standard practice efficacy</w:t>
      </w:r>
      <w:r>
        <w:t xml:space="preserve"> and</w:t>
      </w:r>
      <w:r w:rsidRPr="00355415">
        <w:t xml:space="preserve"> an annual improvement rate of 0.10 µmol/J </w:t>
      </w:r>
      <w:r>
        <w:t>for minimum measure efficacy</w:t>
      </w:r>
      <w:r w:rsidRPr="00355415">
        <w:t>.</w:t>
      </w:r>
    </w:p>
    <w:p w14:paraId="1666E468" w14:textId="0111AA84" w:rsidR="00A97748" w:rsidRDefault="00A97748" w:rsidP="00863C6D">
      <w:pPr>
        <w:pStyle w:val="BodyText"/>
      </w:pPr>
      <w:r w:rsidRPr="00A97748">
        <w:t xml:space="preserve">These results, derived from market data, are intended to serve as </w:t>
      </w:r>
      <w:r>
        <w:t>standard practice requirements</w:t>
      </w:r>
      <w:r w:rsidRPr="00A97748">
        <w:t xml:space="preserve"> for all </w:t>
      </w:r>
      <w:r w:rsidR="00AC6351">
        <w:t>2023</w:t>
      </w:r>
      <w:r w:rsidRPr="00A97748">
        <w:t xml:space="preserve"> cannabis lighting projects. </w:t>
      </w:r>
      <w:r w:rsidR="00AC6351">
        <w:t>2024 and later projects shall use the above listed values until an update is produced and approved as noted below. T</w:t>
      </w:r>
      <w:r w:rsidRPr="00A97748">
        <w:t xml:space="preserve">hese values </w:t>
      </w:r>
      <w:r w:rsidR="00AC6351">
        <w:t xml:space="preserve">are required to </w:t>
      </w:r>
      <w:r w:rsidRPr="00A97748">
        <w:t>be utilized as outlined in the Standard Practice Baseline Selection Guidance specified in Attachment A of CPUC Resolution E-4939</w:t>
      </w:r>
      <w:r w:rsidR="00AC6351">
        <w:t xml:space="preserve"> quoted below (with emphasis added).</w:t>
      </w:r>
    </w:p>
    <w:p w14:paraId="3A9BC9D5" w14:textId="6D175F60" w:rsidR="00863C6D" w:rsidRPr="00A97748" w:rsidRDefault="00A97748" w:rsidP="00A97748">
      <w:pPr>
        <w:pStyle w:val="BodyText"/>
        <w:ind w:left="864" w:right="864"/>
        <w:jc w:val="center"/>
        <w:rPr>
          <w:i/>
          <w:iCs/>
        </w:rPr>
      </w:pPr>
      <w:r w:rsidRPr="00A97748">
        <w:rPr>
          <w:i/>
          <w:iCs/>
        </w:rPr>
        <w:t xml:space="preserve">“Step 1. Consider and apply any applicable and current CPUC published Standard Practice documents relevant to the anticipated functional, technical, and economic needs of the customer, building, or process. Such documents, which may include ISP study reports, DEER baseline values, or </w:t>
      </w:r>
      <w:r w:rsidRPr="00A97748">
        <w:rPr>
          <w:b/>
          <w:bCs/>
          <w:i/>
          <w:iCs/>
        </w:rPr>
        <w:t>CPUC-issued memoranda</w:t>
      </w:r>
      <w:r w:rsidRPr="00A97748">
        <w:rPr>
          <w:i/>
          <w:iCs/>
        </w:rPr>
        <w:t xml:space="preserve"> or dispositions, will be publicly available on a single website with a date of issuance, applicability, and effective dates [endnote 3]. </w:t>
      </w:r>
      <w:r w:rsidRPr="00A97748">
        <w:rPr>
          <w:b/>
          <w:bCs/>
          <w:i/>
          <w:iCs/>
        </w:rPr>
        <w:t xml:space="preserve">If applicable baseline information within these documents is found, apply </w:t>
      </w:r>
      <w:proofErr w:type="gramStart"/>
      <w:r w:rsidRPr="00A97748">
        <w:rPr>
          <w:b/>
          <w:bCs/>
          <w:i/>
          <w:iCs/>
        </w:rPr>
        <w:t>it</w:t>
      </w:r>
      <w:proofErr w:type="gramEnd"/>
      <w:r w:rsidRPr="00A97748">
        <w:rPr>
          <w:b/>
          <w:bCs/>
          <w:i/>
          <w:iCs/>
        </w:rPr>
        <w:t xml:space="preserve"> and stop here</w:t>
      </w:r>
      <w:r w:rsidRPr="00A97748">
        <w:rPr>
          <w:i/>
          <w:iCs/>
        </w:rPr>
        <w:t>.”</w:t>
      </w:r>
    </w:p>
    <w:p w14:paraId="507AA573" w14:textId="73D4A2D4" w:rsidR="00235453" w:rsidRDefault="00A97748" w:rsidP="00235453">
      <w:pPr>
        <w:pStyle w:val="BodyText"/>
      </w:pPr>
      <w:r>
        <w:t xml:space="preserve">The PAs are required to update these values annually. The next update should be submitted for </w:t>
      </w:r>
      <w:r w:rsidR="000A4D9E">
        <w:t xml:space="preserve">review by </w:t>
      </w:r>
      <w:r>
        <w:t xml:space="preserve">CPUC staff </w:t>
      </w:r>
      <w:r w:rsidR="000A4D9E">
        <w:t>no later than</w:t>
      </w:r>
      <w:r>
        <w:t xml:space="preserve"> June 30</w:t>
      </w:r>
      <w:r w:rsidRPr="00A97748">
        <w:rPr>
          <w:vertAlign w:val="superscript"/>
        </w:rPr>
        <w:t>th</w:t>
      </w:r>
      <w:r>
        <w:t>, 2024.</w:t>
      </w:r>
      <w:r w:rsidR="00D503E7">
        <w:t xml:space="preserve"> </w:t>
      </w:r>
      <w:r w:rsidR="000A4D9E" w:rsidRPr="000A4D9E">
        <w:t xml:space="preserve">However, recognizing that market changes may </w:t>
      </w:r>
      <w:r w:rsidR="004C6B21" w:rsidRPr="000A4D9E">
        <w:t>occur,</w:t>
      </w:r>
      <w:r w:rsidR="000A4D9E">
        <w:t xml:space="preserve"> and these results were developed using 2022 data</w:t>
      </w:r>
      <w:r w:rsidR="000A4D9E" w:rsidRPr="000A4D9E">
        <w:t>, an earlier update may be submitted by November 2023 if there is compelling evidence of significant shifts in the market, as demonstrated by updated survey and product data. This earlier update is optional and provides flexibility for the PAs to respond to emerging trends or changes in the industry.</w:t>
      </w:r>
      <w:r w:rsidR="000A4D9E">
        <w:t xml:space="preserve"> </w:t>
      </w:r>
      <w:r w:rsidR="000A4D9E" w:rsidRPr="000A4D9E">
        <w:t xml:space="preserve">The methodology for </w:t>
      </w:r>
      <w:r w:rsidR="004C6B21">
        <w:t>future</w:t>
      </w:r>
      <w:r w:rsidR="000A4D9E" w:rsidRPr="000A4D9E">
        <w:t xml:space="preserve"> update</w:t>
      </w:r>
      <w:r w:rsidR="004C6B21">
        <w:t>s</w:t>
      </w:r>
      <w:r w:rsidR="000A4D9E" w:rsidRPr="000A4D9E">
        <w:t xml:space="preserve"> should remain consistent unless revisions to the methodology have been approved</w:t>
      </w:r>
      <w:r w:rsidR="008F43F5">
        <w:t xml:space="preserve"> by CPUC</w:t>
      </w:r>
      <w:r w:rsidR="000A4D9E" w:rsidRPr="000A4D9E">
        <w:t xml:space="preserve"> before commencing the update work</w:t>
      </w:r>
      <w:r w:rsidR="00AC6351">
        <w:t>.</w:t>
      </w:r>
    </w:p>
    <w:p w14:paraId="63A188D3" w14:textId="6E96EA86" w:rsidR="004D4E34" w:rsidRDefault="00F8229A" w:rsidP="00F8229A">
      <w:pPr>
        <w:pStyle w:val="BodyText"/>
      </w:pPr>
      <w:r>
        <w:t xml:space="preserve">It is </w:t>
      </w:r>
      <w:r w:rsidR="000C782C">
        <w:t>important</w:t>
      </w:r>
      <w:r>
        <w:t xml:space="preserve"> to </w:t>
      </w:r>
      <w:r w:rsidR="007B25E0">
        <w:t>emphasize</w:t>
      </w:r>
      <w:r>
        <w:t xml:space="preserve"> that market </w:t>
      </w:r>
      <w:r w:rsidR="000A4D9E">
        <w:t xml:space="preserve">survey </w:t>
      </w:r>
      <w:r>
        <w:t xml:space="preserve">data collected by the Cannabis Business Times </w:t>
      </w:r>
      <w:r w:rsidR="00174B7D">
        <w:t xml:space="preserve">(CBT) </w:t>
      </w:r>
      <w:r>
        <w:t>since 2016</w:t>
      </w:r>
      <w:r w:rsidR="002B394A">
        <w:rPr>
          <w:rStyle w:val="FootnoteReference"/>
        </w:rPr>
        <w:footnoteReference w:id="2"/>
      </w:r>
      <w:r>
        <w:t xml:space="preserve"> </w:t>
      </w:r>
      <w:r w:rsidR="004D4E34">
        <w:rPr>
          <w:rStyle w:val="FootnoteReference"/>
        </w:rPr>
        <w:footnoteReference w:id="3"/>
      </w:r>
      <w:r w:rsidR="004D4E34">
        <w:t xml:space="preserve"> </w:t>
      </w:r>
      <w:r w:rsidR="004D4E34">
        <w:rPr>
          <w:rStyle w:val="FootnoteReference"/>
        </w:rPr>
        <w:footnoteReference w:id="4"/>
      </w:r>
      <w:r w:rsidR="004D4E34">
        <w:t xml:space="preserve"> </w:t>
      </w:r>
      <w:r w:rsidR="004D4E34">
        <w:rPr>
          <w:rStyle w:val="FootnoteReference"/>
        </w:rPr>
        <w:footnoteReference w:id="5"/>
      </w:r>
      <w:r w:rsidR="004D4E34">
        <w:t xml:space="preserve"> </w:t>
      </w:r>
      <w:r w:rsidR="004C6B21">
        <w:t xml:space="preserve">clearly </w:t>
      </w:r>
      <w:r>
        <w:t xml:space="preserve">indicates LEDs </w:t>
      </w:r>
      <w:r w:rsidR="00174B7D">
        <w:t>have become the</w:t>
      </w:r>
      <w:r>
        <w:t xml:space="preserve"> dominant technology, with 70% of current </w:t>
      </w:r>
      <w:r w:rsidR="00174B7D">
        <w:t xml:space="preserve">cannabis </w:t>
      </w:r>
      <w:r w:rsidR="002B394A">
        <w:t xml:space="preserve">growers </w:t>
      </w:r>
      <w:r w:rsidR="004C6B21">
        <w:t>of</w:t>
      </w:r>
      <w:r w:rsidR="002B394A">
        <w:t xml:space="preserve"> all types and sizes </w:t>
      </w:r>
      <w:r>
        <w:t xml:space="preserve">utilizing LEDs in their </w:t>
      </w:r>
      <w:r w:rsidR="004D4E34">
        <w:t xml:space="preserve">existing </w:t>
      </w:r>
      <w:r>
        <w:t xml:space="preserve">installations. </w:t>
      </w:r>
      <w:r w:rsidR="004D4E34" w:rsidRPr="004D4E34">
        <w:t xml:space="preserve">Additionally, the analysis of the trends in CBT data over the past several years indicates that newly installed </w:t>
      </w:r>
      <w:r w:rsidR="004C6B21">
        <w:t xml:space="preserve">projects </w:t>
      </w:r>
      <w:r w:rsidR="004D4E34" w:rsidRPr="004D4E34">
        <w:t>must have an even higher level of LED</w:t>
      </w:r>
      <w:r w:rsidR="004C6B21">
        <w:t xml:space="preserve">s </w:t>
      </w:r>
      <w:r w:rsidR="004D4E34" w:rsidRPr="004D4E34">
        <w:t>than the existing installations else the increasing trend would not have occurred. As clarified in Resolution E-4</w:t>
      </w:r>
      <w:r w:rsidR="004D4E34">
        <w:t>939</w:t>
      </w:r>
      <w:r w:rsidR="004D4E34">
        <w:rPr>
          <w:rStyle w:val="FootnoteReference"/>
        </w:rPr>
        <w:footnoteReference w:id="6"/>
      </w:r>
      <w:r w:rsidR="004D4E34">
        <w:t xml:space="preserve"> w</w:t>
      </w:r>
      <w:r>
        <w:t xml:space="preserve">hen a technology becomes predominant, the CPUC mandates its adoption as the standard practice. </w:t>
      </w:r>
      <w:r w:rsidR="004D4E34" w:rsidRPr="004D4E34">
        <w:t>However, utilization of a mixed baseline, as proposed here, is allowed when there is no predominant technology but rather more than one commonly used technology.</w:t>
      </w:r>
    </w:p>
    <w:p w14:paraId="73128019" w14:textId="2A0B183E" w:rsidR="00F8229A" w:rsidRDefault="007B25E0" w:rsidP="00F8229A">
      <w:pPr>
        <w:pStyle w:val="BodyText"/>
      </w:pPr>
      <w:r w:rsidRPr="007B25E0">
        <w:t xml:space="preserve">Given the significant share of installed LEDs and the consistent upward trend in LED adoption over the past seven years, </w:t>
      </w:r>
      <w:proofErr w:type="gramStart"/>
      <w:r w:rsidRPr="007B25E0">
        <w:t>it is clear that new</w:t>
      </w:r>
      <w:proofErr w:type="gramEnd"/>
      <w:r w:rsidRPr="007B25E0">
        <w:t xml:space="preserve"> installations, which the CPUC considers when determining standard practice, </w:t>
      </w:r>
      <w:r>
        <w:t>will include</w:t>
      </w:r>
      <w:r w:rsidRPr="007B25E0">
        <w:t xml:space="preserve"> a considerably higher proportion of LEDs. </w:t>
      </w:r>
      <w:r w:rsidR="00F8229A">
        <w:t>This would effectively establish LEDs as the standard practice</w:t>
      </w:r>
      <w:r w:rsidR="00A713B6">
        <w:t xml:space="preserve"> </w:t>
      </w:r>
      <w:r w:rsidR="00A713B6" w:rsidRPr="00A713B6">
        <w:t>in subsequent years to 2023, and specifically that is directed for 2025. Additionally, as directed in Resolution E-4939</w:t>
      </w:r>
      <w:r w:rsidR="00A713B6">
        <w:rPr>
          <w:rStyle w:val="FootnoteReference"/>
        </w:rPr>
        <w:footnoteReference w:id="7"/>
      </w:r>
      <w:r w:rsidR="00A713B6" w:rsidRPr="00A713B6">
        <w:t xml:space="preserve"> </w:t>
      </w:r>
      <w:r w:rsidR="00A937D0">
        <w:t>A</w:t>
      </w:r>
      <w:r w:rsidR="00A713B6" w:rsidRPr="00A713B6">
        <w:t xml:space="preserve">ccelerated </w:t>
      </w:r>
      <w:r w:rsidR="00A937D0">
        <w:t>R</w:t>
      </w:r>
      <w:r w:rsidR="00A713B6" w:rsidRPr="00A713B6">
        <w:t xml:space="preserve">eplacement </w:t>
      </w:r>
      <w:r w:rsidR="00A937D0">
        <w:t xml:space="preserve">(AR) </w:t>
      </w:r>
      <w:r w:rsidR="00A713B6">
        <w:t xml:space="preserve">projects </w:t>
      </w:r>
      <w:r w:rsidR="00A713B6" w:rsidRPr="00A713B6">
        <w:t xml:space="preserve">shall use the above directed values for the standard practice starting at the </w:t>
      </w:r>
      <w:r w:rsidR="00A713B6">
        <w:t>end of remaining useful life.</w:t>
      </w:r>
    </w:p>
    <w:p w14:paraId="7EF9B7C4" w14:textId="5B985E15" w:rsidR="00D503E7" w:rsidRDefault="00F8229A" w:rsidP="00F8229A">
      <w:pPr>
        <w:pStyle w:val="BodyText"/>
      </w:pPr>
      <w:r>
        <w:lastRenderedPageBreak/>
        <w:t xml:space="preserve">The standard practice values </w:t>
      </w:r>
      <w:r w:rsidR="007B25E0">
        <w:t>approved by CPUC staff</w:t>
      </w:r>
      <w:r w:rsidR="00A713B6">
        <w:t xml:space="preserve"> listed above</w:t>
      </w:r>
      <w:r>
        <w:t xml:space="preserve"> are based on a technology mix that includes non-LED technologies. These assumptions have deliberately been made lenient to exercise caution. However, we request Program Administrators (PAs) to </w:t>
      </w:r>
      <w:proofErr w:type="gramStart"/>
      <w:r>
        <w:t>take into account</w:t>
      </w:r>
      <w:proofErr w:type="gramEnd"/>
      <w:r>
        <w:t xml:space="preserve"> the market trends and the increasing adoption of LEDs when designing and implementing programs for this industry. </w:t>
      </w:r>
      <w:r w:rsidR="00A713B6">
        <w:t>For example, we note</w:t>
      </w:r>
      <w:r>
        <w:t xml:space="preserve"> that the forthcoming Codes and Standards Enhancement (CASE) Initiative report for Controlled Environment Horticulture, scheduled for the 2025 Title 24, </w:t>
      </w:r>
      <w:r w:rsidR="00A713B6">
        <w:t>proposes a minimum</w:t>
      </w:r>
      <w:r>
        <w:t xml:space="preserve"> efficacy value that </w:t>
      </w:r>
      <w:r w:rsidR="00A713B6">
        <w:t xml:space="preserve">would </w:t>
      </w:r>
      <w:r>
        <w:t>exclude non-LED technologies from the mix.</w:t>
      </w:r>
      <w:r w:rsidR="00BA60A1">
        <w:t xml:space="preserve"> </w:t>
      </w:r>
      <w:r w:rsidR="00311DD5">
        <w:t>The</w:t>
      </w:r>
      <w:r w:rsidR="00741BE5" w:rsidRPr="00741BE5">
        <w:t xml:space="preserve"> CASE report </w:t>
      </w:r>
      <w:r w:rsidR="00311DD5">
        <w:t xml:space="preserve">proposal </w:t>
      </w:r>
      <w:r w:rsidR="00741BE5" w:rsidRPr="00741BE5">
        <w:t>suggests that LEDs may already be standard practice and that non-LED technologies should not be allowed by code in new installation within the next two years. However, CPUC staff fe</w:t>
      </w:r>
      <w:r w:rsidR="00741BE5">
        <w:t>els</w:t>
      </w:r>
      <w:r w:rsidR="00741BE5" w:rsidRPr="00741BE5">
        <w:t xml:space="preserve"> that use of a mixed baseline for 2023 and 2024 is warranted for now during this “transitional” period.</w:t>
      </w:r>
    </w:p>
    <w:p w14:paraId="6A894774" w14:textId="5D4E360B" w:rsidR="00BA60A1" w:rsidRDefault="00BA60A1" w:rsidP="00F8229A">
      <w:pPr>
        <w:pStyle w:val="BodyText"/>
      </w:pPr>
      <w:r w:rsidRPr="00355415">
        <w:t xml:space="preserve">We </w:t>
      </w:r>
      <w:r w:rsidR="00311DD5" w:rsidRPr="00355415">
        <w:t>appreciate</w:t>
      </w:r>
      <w:r w:rsidRPr="00355415">
        <w:t xml:space="preserve"> the efforts made by all stakeholders in identifying valuable market data sources and conducting comprehensive analyses to ensure accurate standard practice results.</w:t>
      </w:r>
    </w:p>
    <w:p w14:paraId="62745F7D" w14:textId="77777777" w:rsidR="00A97748" w:rsidRDefault="00A97748" w:rsidP="00A8000E">
      <w:pPr>
        <w:pStyle w:val="BodyText"/>
      </w:pPr>
    </w:p>
    <w:p w14:paraId="3988B94C" w14:textId="5930E1B1" w:rsidR="001F7D3E" w:rsidRDefault="001F7D3E" w:rsidP="001F7D3E">
      <w:pPr>
        <w:pStyle w:val="Heading1"/>
      </w:pPr>
      <w:r w:rsidRPr="001F7D3E">
        <w:t>Background</w:t>
      </w:r>
    </w:p>
    <w:p w14:paraId="18E0CC97" w14:textId="556EE063" w:rsidR="00863C6D" w:rsidRDefault="00863C6D" w:rsidP="00863C6D">
      <w:pPr>
        <w:pStyle w:val="BodyText"/>
      </w:pPr>
      <w:r>
        <w:t xml:space="preserve">CPUC staff has issued </w:t>
      </w:r>
      <w:proofErr w:type="gramStart"/>
      <w:r>
        <w:t>a number of</w:t>
      </w:r>
      <w:proofErr w:type="gramEnd"/>
      <w:r>
        <w:t xml:space="preserve"> dispositions for PG&amp;E’s cannabis lighting projects in the past few years. These dispositions</w:t>
      </w:r>
      <w:r>
        <w:rPr>
          <w:rFonts w:ascii="Roboto" w:hAnsi="Roboto"/>
          <w:color w:val="70757A"/>
          <w:sz w:val="21"/>
          <w:szCs w:val="21"/>
          <w:shd w:val="clear" w:color="auto" w:fill="FFFFFF"/>
        </w:rPr>
        <w:t>—</w:t>
      </w:r>
      <w:r>
        <w:t>including the most recent dispositions issued in June-July of 2022 for projects proposed under Willdan California Design Assistance (CEDA) and TRC Agricultural Energy Savings Action Plan (AESAP) programs</w:t>
      </w:r>
      <w:r>
        <w:rPr>
          <w:rFonts w:ascii="Roboto" w:hAnsi="Roboto"/>
          <w:color w:val="70757A"/>
          <w:sz w:val="21"/>
          <w:szCs w:val="21"/>
          <w:shd w:val="clear" w:color="auto" w:fill="FFFFFF"/>
        </w:rPr>
        <w:t>—</w:t>
      </w:r>
      <w:r>
        <w:t xml:space="preserve">raised concerns about </w:t>
      </w:r>
      <w:proofErr w:type="gramStart"/>
      <w:r>
        <w:t>a number of</w:t>
      </w:r>
      <w:proofErr w:type="gramEnd"/>
      <w:r>
        <w:t xml:space="preserve"> issues. Disposition issues included program influence, cost savings calculations, </w:t>
      </w:r>
      <w:r w:rsidR="007F3260">
        <w:t xml:space="preserve">energy </w:t>
      </w:r>
      <w:r>
        <w:t xml:space="preserve">savings calculations (including standard practice issues and other assumptions/algorithms used in the Grow Green Calculator), measure life, </w:t>
      </w:r>
      <w:r w:rsidR="00F8229A">
        <w:t xml:space="preserve">service level equivalency, </w:t>
      </w:r>
      <w:r>
        <w:t>and HVAC interactive savings.</w:t>
      </w:r>
    </w:p>
    <w:p w14:paraId="03158C49" w14:textId="0A52D002" w:rsidR="00863C6D" w:rsidRDefault="00863C6D" w:rsidP="00863C6D">
      <w:pPr>
        <w:pStyle w:val="BodyText"/>
      </w:pPr>
      <w:r>
        <w:t xml:space="preserve">In response to these dispositions and other ongoing statewide lighting efforts, </w:t>
      </w:r>
      <w:r w:rsidR="007F3260">
        <w:t xml:space="preserve">the </w:t>
      </w:r>
      <w:r>
        <w:t xml:space="preserve">Willdan </w:t>
      </w:r>
      <w:r w:rsidR="007F3260">
        <w:t xml:space="preserve">team </w:t>
      </w:r>
      <w:r>
        <w:t>and TRC provided two separate standard practice studies for cannabis lighting projects. This memo summarizes our feedback for these studies</w:t>
      </w:r>
      <w:r w:rsidRPr="00F03453">
        <w:t xml:space="preserve">. Other issues including </w:t>
      </w:r>
      <w:r w:rsidR="00F03453" w:rsidRPr="00F03453">
        <w:t xml:space="preserve">cost calculations, service level adjustment, </w:t>
      </w:r>
      <w:r w:rsidRPr="00F03453">
        <w:t>HVAC savings, program influence and Grow Green Calculator assumptions and algorithms are not discussed here and remain open.</w:t>
      </w:r>
    </w:p>
    <w:p w14:paraId="4681E193" w14:textId="3F193FBE" w:rsidR="00AF35C2" w:rsidRDefault="00AF35C2" w:rsidP="00EB2213">
      <w:pPr>
        <w:pStyle w:val="BodyText"/>
      </w:pPr>
      <w:r>
        <w:t>According to</w:t>
      </w:r>
      <w:r w:rsidR="004412A3">
        <w:t xml:space="preserve"> the</w:t>
      </w:r>
      <w:r>
        <w:t xml:space="preserve"> CPUC Decision </w:t>
      </w:r>
      <w:r w:rsidRPr="00AF35C2">
        <w:t>12-05-015 at 351</w:t>
      </w:r>
      <w:r w:rsidR="007F3260">
        <w:t xml:space="preserve"> (emphasis added)</w:t>
      </w:r>
      <w:r>
        <w:t>:</w:t>
      </w:r>
    </w:p>
    <w:p w14:paraId="4D4A5694" w14:textId="7062B61D" w:rsidR="00AF35C2" w:rsidRDefault="00AF35C2" w:rsidP="007A4EA1">
      <w:pPr>
        <w:pStyle w:val="BodyText"/>
        <w:ind w:left="864" w:right="864"/>
        <w:jc w:val="center"/>
        <w:rPr>
          <w:i/>
          <w:iCs/>
        </w:rPr>
      </w:pPr>
      <w:r w:rsidRPr="00AF35C2">
        <w:rPr>
          <w:i/>
          <w:iCs/>
        </w:rPr>
        <w:t xml:space="preserve">“For purposes of establishing a baseline for energy savings, we interpret the standard practice case </w:t>
      </w:r>
      <w:r w:rsidRPr="00AF35C2">
        <w:rPr>
          <w:b/>
          <w:bCs/>
          <w:i/>
          <w:iCs/>
        </w:rPr>
        <w:t xml:space="preserve">as a choice that represents the typical equipment or </w:t>
      </w:r>
      <w:proofErr w:type="gramStart"/>
      <w:r w:rsidRPr="00AF35C2">
        <w:rPr>
          <w:b/>
          <w:bCs/>
          <w:i/>
          <w:iCs/>
        </w:rPr>
        <w:t>commonly-used</w:t>
      </w:r>
      <w:proofErr w:type="gramEnd"/>
      <w:r w:rsidRPr="00AF35C2">
        <w:rPr>
          <w:b/>
          <w:bCs/>
          <w:i/>
          <w:iCs/>
        </w:rPr>
        <w:t xml:space="preserve"> practice, not necessarily predominantly used practice</w:t>
      </w:r>
      <w:r w:rsidRPr="00AF35C2">
        <w:rPr>
          <w:i/>
          <w:iCs/>
        </w:rPr>
        <w:t xml:space="preserve">. We understand that the range of common practices may vary depending on many industry- and/or region-specific factors and that, as with other parameters, experts may provide a range of opinions on the interpretation of evidence for standard practice choice. </w:t>
      </w:r>
      <w:r w:rsidRPr="00AF35C2">
        <w:rPr>
          <w:b/>
          <w:bCs/>
          <w:i/>
          <w:iCs/>
        </w:rPr>
        <w:t xml:space="preserve">Here again, we expect CPUC staff to use its </w:t>
      </w:r>
      <w:proofErr w:type="gramStart"/>
      <w:r w:rsidRPr="00AF35C2">
        <w:rPr>
          <w:b/>
          <w:bCs/>
          <w:i/>
          <w:iCs/>
        </w:rPr>
        <w:t>ex ante</w:t>
      </w:r>
      <w:proofErr w:type="gramEnd"/>
      <w:r w:rsidRPr="00AF35C2">
        <w:rPr>
          <w:b/>
          <w:bCs/>
          <w:i/>
          <w:iCs/>
        </w:rPr>
        <w:t xml:space="preserve"> review process to establish guidelines on how to determine a standard practice baseline</w:t>
      </w:r>
      <w:r w:rsidRPr="00AF35C2">
        <w:rPr>
          <w:i/>
          <w:iCs/>
        </w:rPr>
        <w:t>.”</w:t>
      </w:r>
    </w:p>
    <w:p w14:paraId="184E13A6" w14:textId="773B8D61" w:rsidR="00AF35C2" w:rsidRDefault="00AF35C2" w:rsidP="00EB2213">
      <w:pPr>
        <w:pStyle w:val="BodyText"/>
      </w:pPr>
      <w:r>
        <w:t>Consistent with this long-term CPUC policy, Resolution E-</w:t>
      </w:r>
      <w:r w:rsidR="007F3260">
        <w:t>4939</w:t>
      </w:r>
      <w:r>
        <w:t xml:space="preserve"> at 17 state</w:t>
      </w:r>
      <w:r w:rsidR="007A4EA1">
        <w:t xml:space="preserve">s </w:t>
      </w:r>
      <w:r>
        <w:t>that</w:t>
      </w:r>
      <w:r w:rsidR="007A4EA1">
        <w:t>:</w:t>
      </w:r>
    </w:p>
    <w:p w14:paraId="15F16B0D" w14:textId="078F3AF2" w:rsidR="00AF35C2" w:rsidRDefault="00AF35C2" w:rsidP="007A4EA1">
      <w:pPr>
        <w:pStyle w:val="BodyText"/>
        <w:ind w:left="864" w:right="864"/>
        <w:jc w:val="center"/>
        <w:rPr>
          <w:i/>
          <w:iCs/>
        </w:rPr>
      </w:pPr>
      <w:r w:rsidRPr="00AF35C2">
        <w:rPr>
          <w:i/>
          <w:iCs/>
        </w:rPr>
        <w:t>“</w:t>
      </w:r>
      <w:r w:rsidR="007F3260" w:rsidRPr="007F3260">
        <w:rPr>
          <w:i/>
          <w:iCs/>
        </w:rPr>
        <w:t>h.) Consistent with existing policy,</w:t>
      </w:r>
      <w:r w:rsidR="007F3260">
        <w:rPr>
          <w:rStyle w:val="FootnoteReference"/>
          <w:i/>
          <w:iCs/>
        </w:rPr>
        <w:footnoteReference w:id="8"/>
      </w:r>
      <w:r w:rsidR="007F3260" w:rsidRPr="007F3260">
        <w:rPr>
          <w:i/>
          <w:iCs/>
        </w:rPr>
        <w:t xml:space="preserve"> when Step 2</w:t>
      </w:r>
      <w:r w:rsidR="007F3260">
        <w:rPr>
          <w:rStyle w:val="FootnoteReference"/>
          <w:i/>
          <w:iCs/>
        </w:rPr>
        <w:footnoteReference w:id="9"/>
      </w:r>
      <w:r w:rsidR="007F3260" w:rsidRPr="007F3260">
        <w:rPr>
          <w:i/>
          <w:iCs/>
        </w:rPr>
        <w:t xml:space="preserve"> of the adopted baseline selection process yields more than two feasible options, the </w:t>
      </w:r>
      <w:proofErr w:type="gramStart"/>
      <w:r w:rsidR="007F3260" w:rsidRPr="007F3260">
        <w:rPr>
          <w:i/>
          <w:iCs/>
        </w:rPr>
        <w:t>most commonly implemented</w:t>
      </w:r>
      <w:proofErr w:type="gramEnd"/>
      <w:r w:rsidR="007F3260" w:rsidRPr="007F3260">
        <w:rPr>
          <w:i/>
          <w:iCs/>
        </w:rPr>
        <w:t xml:space="preserve"> feasible option shall be used as the baseline. In cases where there is more than one commonly implemented feasible option, an appropriate composite of the commonly implemented feasible options shall be used for the baseline determination. The various options can be weighted using available data such as sales fraction data or the relative cost of the options, or by the relative energy consumption of the options. A rationally developed and well documented assessment of the available data should be used to determine a reasonable baseline in these cases. For example, in the case of lighting measures there are usually numerous options with varying prices and efficiency levels available in </w:t>
      </w:r>
      <w:r w:rsidR="007F3260" w:rsidRPr="007F3260">
        <w:rPr>
          <w:i/>
          <w:iCs/>
        </w:rPr>
        <w:lastRenderedPageBreak/>
        <w:t xml:space="preserve">the marketplace. Sales data obtained from lighting manufacturers and/or other industry sources can </w:t>
      </w:r>
      <w:proofErr w:type="gramStart"/>
      <w:r w:rsidR="007F3260" w:rsidRPr="007F3260">
        <w:rPr>
          <w:i/>
          <w:iCs/>
        </w:rPr>
        <w:t>been</w:t>
      </w:r>
      <w:proofErr w:type="gramEnd"/>
      <w:r w:rsidR="007F3260" w:rsidRPr="007F3260">
        <w:rPr>
          <w:i/>
          <w:iCs/>
        </w:rPr>
        <w:t xml:space="preserve"> used to weight the options to determine a composite baseline. When there is significant price differential between the proposed measure and the rest of the market, a sales weighted average of the lower cost measures may be appropriate to determine the baseline.”</w:t>
      </w:r>
    </w:p>
    <w:p w14:paraId="79B6549E" w14:textId="3FD2CB87" w:rsidR="00FF4F97" w:rsidRDefault="00FF4F97" w:rsidP="00FF4F97">
      <w:pPr>
        <w:pStyle w:val="BodyText"/>
      </w:pPr>
      <w:r>
        <w:t>Additionally, as directed in Resolution E-4939</w:t>
      </w:r>
      <w:r w:rsidR="00A937D0">
        <w:rPr>
          <w:rStyle w:val="FootnoteReference"/>
        </w:rPr>
        <w:footnoteReference w:id="10"/>
      </w:r>
      <w:r>
        <w:t xml:space="preserve"> below, the baseline considerations for projects claiming </w:t>
      </w:r>
      <w:r w:rsidR="00A937D0">
        <w:t>AR</w:t>
      </w:r>
      <w:r>
        <w:t xml:space="preserve"> must consider alternative values for the standard practice for the second period:</w:t>
      </w:r>
    </w:p>
    <w:p w14:paraId="41DC7B51" w14:textId="62D9333F" w:rsidR="00FF4F97" w:rsidRPr="00FF4F97" w:rsidRDefault="00FF4F97" w:rsidP="00FF4F97">
      <w:pPr>
        <w:pStyle w:val="BodyText"/>
        <w:ind w:left="864" w:right="864"/>
        <w:jc w:val="center"/>
        <w:rPr>
          <w:i/>
          <w:iCs/>
        </w:rPr>
      </w:pPr>
      <w:r w:rsidRPr="00FF4F97">
        <w:rPr>
          <w:i/>
          <w:iCs/>
        </w:rPr>
        <w:t>“</w:t>
      </w:r>
      <w:proofErr w:type="spellStart"/>
      <w:r w:rsidRPr="00FF4F97">
        <w:rPr>
          <w:i/>
          <w:iCs/>
        </w:rPr>
        <w:t>i</w:t>
      </w:r>
      <w:proofErr w:type="spellEnd"/>
      <w:r w:rsidRPr="00FF4F97">
        <w:rPr>
          <w:i/>
          <w:iCs/>
        </w:rPr>
        <w:t>.) In an Accelerated Replacement project or measure case the standard practice baseline assignment shall appropriately consider the practices expected for a normal replacement at the end of its Remaining Useful Life (RUL).”</w:t>
      </w:r>
    </w:p>
    <w:p w14:paraId="541D0511" w14:textId="36599C53" w:rsidR="00AF35C2" w:rsidRDefault="00355415" w:rsidP="00EB2213">
      <w:pPr>
        <w:pStyle w:val="BodyText"/>
      </w:pPr>
      <w:r w:rsidRPr="00355415">
        <w:t>In our review of PG&amp;E cannabis lighting projects, it was discovered that a baseline of 100% HID (High Intensity Discharge) lighting (with various types and efficacies) was utilized without conducting the necessary standard practice research. We have repeatedly requested PG&amp;E to conduct this research in multiple meetings and discussions over the past few years. Recently, two program implementers have submitted separate studies to address this specific concern</w:t>
      </w:r>
      <w:r w:rsidR="00AF35C2">
        <w:t>:</w:t>
      </w:r>
    </w:p>
    <w:p w14:paraId="7912533B" w14:textId="66E98CD9" w:rsidR="00355415" w:rsidRPr="00355415" w:rsidRDefault="00355415" w:rsidP="00355415">
      <w:pPr>
        <w:pStyle w:val="BodyText"/>
        <w:numPr>
          <w:ilvl w:val="0"/>
          <w:numId w:val="38"/>
        </w:numPr>
      </w:pPr>
      <w:r w:rsidRPr="00355415">
        <w:t>The Willdan team ad</w:t>
      </w:r>
      <w:r w:rsidR="00FF4F97">
        <w:t>a</w:t>
      </w:r>
      <w:r w:rsidRPr="00355415">
        <w:t xml:space="preserve">pted the statewide </w:t>
      </w:r>
      <w:r w:rsidR="00FF4F97">
        <w:t xml:space="preserve">general </w:t>
      </w:r>
      <w:r w:rsidRPr="00355415">
        <w:t xml:space="preserve">lighting standard practice </w:t>
      </w:r>
      <w:r w:rsidR="00FF4F97">
        <w:t>methodology approved by CPUC staff</w:t>
      </w:r>
      <w:r w:rsidRPr="00355415">
        <w:t xml:space="preserve"> to establish </w:t>
      </w:r>
      <w:r w:rsidR="00FF4F97">
        <w:t xml:space="preserve">proposed </w:t>
      </w:r>
      <w:r w:rsidRPr="00355415">
        <w:t xml:space="preserve">standard practice efficacies for cannabis lighting. Willdan, PAs, and CPUC staff have collaborated over the past two years in developing a statewide standard practice </w:t>
      </w:r>
      <w:r w:rsidR="00FF4F97">
        <w:t>methodology</w:t>
      </w:r>
      <w:r w:rsidRPr="00355415">
        <w:t xml:space="preserve"> for general lighting (non-cannabis). Willdan has conducted two standard practice studies for general lighting, which have been extensively discussed within the statewide lighting group. These studies were approved by CPUC staff and are currently incorporated into the statewide custom lighting tool, known as the Modified Lighting Calculator (MLC). </w:t>
      </w:r>
      <w:r w:rsidR="00FF4F97">
        <w:t xml:space="preserve">The </w:t>
      </w:r>
      <w:r w:rsidRPr="00355415">
        <w:t>Willdan</w:t>
      </w:r>
      <w:r w:rsidR="00FF4F97">
        <w:t xml:space="preserve"> team</w:t>
      </w:r>
      <w:r w:rsidRPr="00355415">
        <w:t xml:space="preserve"> followed the same </w:t>
      </w:r>
      <w:r w:rsidR="00FF4F97">
        <w:t>methodology</w:t>
      </w:r>
      <w:r w:rsidRPr="00355415">
        <w:t xml:space="preserve"> to determine </w:t>
      </w:r>
      <w:r w:rsidR="00FF4F97">
        <w:t xml:space="preserve">their proposed </w:t>
      </w:r>
      <w:r w:rsidRPr="00355415">
        <w:t xml:space="preserve">standard practice efficacies and eligibility criteria for cannabis lighting, </w:t>
      </w:r>
      <w:proofErr w:type="gramStart"/>
      <w:r w:rsidRPr="00355415">
        <w:t>taking into account</w:t>
      </w:r>
      <w:proofErr w:type="gramEnd"/>
      <w:r w:rsidRPr="00355415">
        <w:t xml:space="preserve"> additional considerations for the cannabis grow market. The study relied on market data collected by </w:t>
      </w:r>
      <w:r w:rsidR="00174B7D">
        <w:t>CBT</w:t>
      </w:r>
      <w:r w:rsidRPr="00355415">
        <w:t xml:space="preserve"> to establish the standard practice technology mix. </w:t>
      </w:r>
      <w:r w:rsidR="00FF4F97">
        <w:t xml:space="preserve">The </w:t>
      </w:r>
      <w:r w:rsidRPr="00355415">
        <w:t xml:space="preserve">Willdan </w:t>
      </w:r>
      <w:r w:rsidR="00FF4F97">
        <w:t xml:space="preserve">team </w:t>
      </w:r>
      <w:r w:rsidRPr="00355415">
        <w:t xml:space="preserve">also addressed other concerns raised in CPUC staff dispositions, including measure cost and measure life. This study was submitted for </w:t>
      </w:r>
      <w:r w:rsidR="00311DD5">
        <w:t xml:space="preserve">CPUC staff </w:t>
      </w:r>
      <w:r w:rsidRPr="00355415">
        <w:t xml:space="preserve">review through the ongoing statewide lighting working group led by SDG&amp;E in December 2022. In response to our initial feedback memo issued on April 26, 2023, </w:t>
      </w:r>
      <w:r w:rsidR="00FF4F97">
        <w:t xml:space="preserve">the Willdan team submitted </w:t>
      </w:r>
      <w:r w:rsidRPr="00355415">
        <w:t>a revised study on May 11, 2023.</w:t>
      </w:r>
    </w:p>
    <w:p w14:paraId="57FB6922" w14:textId="6556068E" w:rsidR="00355415" w:rsidRDefault="00355415" w:rsidP="00355415">
      <w:pPr>
        <w:pStyle w:val="BodyText"/>
        <w:numPr>
          <w:ilvl w:val="0"/>
          <w:numId w:val="38"/>
        </w:numPr>
      </w:pPr>
      <w:r w:rsidRPr="00355415">
        <w:t>TRC conducted a secondary review of previous</w:t>
      </w:r>
      <w:r w:rsidR="00311DD5">
        <w:t xml:space="preserve"> cannabis lighting</w:t>
      </w:r>
      <w:r w:rsidRPr="00355415">
        <w:t xml:space="preserve"> studies </w:t>
      </w:r>
      <w:r>
        <w:t>but also used the</w:t>
      </w:r>
      <w:r w:rsidRPr="00355415">
        <w:t xml:space="preserve"> </w:t>
      </w:r>
      <w:r w:rsidR="00311DD5">
        <w:t xml:space="preserve">2022 </w:t>
      </w:r>
      <w:r w:rsidRPr="00355415">
        <w:t xml:space="preserve">survey data collected by </w:t>
      </w:r>
      <w:r w:rsidR="00174B7D">
        <w:t>CBT</w:t>
      </w:r>
      <w:r w:rsidRPr="00355415">
        <w:t xml:space="preserve">. Their conclusion was that LED is the standard practice technology for most grow stages, except for the single layer flowering stage, where double-ended HPS (high pressure sodium) is considered the standard practice technology. Standard practice efficacy values were determined using various data sources, including </w:t>
      </w:r>
      <w:r w:rsidR="00311DD5">
        <w:t xml:space="preserve">public </w:t>
      </w:r>
      <w:r w:rsidRPr="00355415">
        <w:t xml:space="preserve">test data for LEDs and HIDs, </w:t>
      </w:r>
      <w:proofErr w:type="spellStart"/>
      <w:r w:rsidRPr="00355415">
        <w:t>DesignLights</w:t>
      </w:r>
      <w:proofErr w:type="spellEnd"/>
      <w:r w:rsidRPr="00355415">
        <w:t xml:space="preserve"> Consortium</w:t>
      </w:r>
      <w:r w:rsidR="00FF4F97">
        <w:t xml:space="preserve"> (DLC)</w:t>
      </w:r>
      <w:r w:rsidRPr="00355415">
        <w:t xml:space="preserve"> data, and </w:t>
      </w:r>
      <w:r w:rsidR="00311DD5">
        <w:t xml:space="preserve">2022 </w:t>
      </w:r>
      <w:r w:rsidRPr="00355415">
        <w:t xml:space="preserve">survey data from </w:t>
      </w:r>
      <w:r w:rsidR="00174B7D">
        <w:t>CBT</w:t>
      </w:r>
      <w:r w:rsidRPr="00355415">
        <w:t xml:space="preserve">. TRC study did not discuss measure cost and measure life. This study was submitted for </w:t>
      </w:r>
      <w:r w:rsidR="00311DD5">
        <w:t xml:space="preserve">CPUC staff </w:t>
      </w:r>
      <w:r w:rsidRPr="00355415">
        <w:t>review by PG&amp;E in February 2023.</w:t>
      </w:r>
    </w:p>
    <w:p w14:paraId="7721E454" w14:textId="4E1A15AD" w:rsidR="00AF35C2" w:rsidRDefault="00355415" w:rsidP="00EB2213">
      <w:pPr>
        <w:pStyle w:val="BodyText"/>
      </w:pPr>
      <w:r w:rsidRPr="00355415">
        <w:t xml:space="preserve">After thoroughly reviewing both studies and their results, we found that </w:t>
      </w:r>
      <w:proofErr w:type="spellStart"/>
      <w:r w:rsidRPr="00355415">
        <w:t>Willdan's</w:t>
      </w:r>
      <w:proofErr w:type="spellEnd"/>
      <w:r w:rsidRPr="00355415">
        <w:t xml:space="preserve"> study </w:t>
      </w:r>
      <w:r w:rsidR="00A937D0">
        <w:t>methodology</w:t>
      </w:r>
      <w:r w:rsidRPr="00355415">
        <w:t xml:space="preserve"> and results align with the statewide approach used for other lighting projects. </w:t>
      </w:r>
      <w:r w:rsidR="00803241">
        <w:t>However, w</w:t>
      </w:r>
      <w:r>
        <w:t xml:space="preserve">e updated </w:t>
      </w:r>
      <w:proofErr w:type="spellStart"/>
      <w:r>
        <w:t>Willdan’s</w:t>
      </w:r>
      <w:proofErr w:type="spellEnd"/>
      <w:r>
        <w:t xml:space="preserve"> result to include </w:t>
      </w:r>
      <w:r w:rsidR="00803241">
        <w:t xml:space="preserve">a </w:t>
      </w:r>
      <w:r>
        <w:t>lower</w:t>
      </w:r>
      <w:r w:rsidR="00803241">
        <w:t xml:space="preserve"> </w:t>
      </w:r>
      <w:r>
        <w:t>non-LED efficacy</w:t>
      </w:r>
      <w:r w:rsidR="00A937D0">
        <w:t xml:space="preserve"> (1.7 </w:t>
      </w:r>
      <w:r w:rsidR="00A937D0" w:rsidRPr="00A937D0">
        <w:t>µmol/J</w:t>
      </w:r>
      <w:r w:rsidR="00A937D0">
        <w:t>)</w:t>
      </w:r>
      <w:r>
        <w:t xml:space="preserve"> for greenhouse projects based on </w:t>
      </w:r>
      <w:r w:rsidR="00803241">
        <w:t xml:space="preserve">the </w:t>
      </w:r>
      <w:r>
        <w:t xml:space="preserve">2022 Title 24 </w:t>
      </w:r>
      <w:r w:rsidR="00803241">
        <w:t xml:space="preserve">minimum </w:t>
      </w:r>
      <w:r>
        <w:t>requirements</w:t>
      </w:r>
      <w:r w:rsidR="00803241">
        <w:t xml:space="preserve"> for greenhouses. </w:t>
      </w:r>
      <w:r w:rsidR="00803241" w:rsidRPr="00803241">
        <w:t xml:space="preserve">Willdan proposed typical double ended HPS fixtures </w:t>
      </w:r>
      <w:r w:rsidR="00803241">
        <w:t>as</w:t>
      </w:r>
      <w:r w:rsidR="00803241" w:rsidRPr="00803241">
        <w:t xml:space="preserve"> the predominant non-LED technology </w:t>
      </w:r>
      <w:r w:rsidR="00A937D0">
        <w:t xml:space="preserve">and used the 2022 Title 24 minimum efficacy requirements (1.9 </w:t>
      </w:r>
      <w:r w:rsidR="00A937D0" w:rsidRPr="00A937D0">
        <w:t>µmol/J</w:t>
      </w:r>
      <w:r w:rsidR="00A937D0">
        <w:t xml:space="preserve">) for fully enclosed grow facilities. </w:t>
      </w:r>
    </w:p>
    <w:p w14:paraId="79EA0D9B" w14:textId="77777777" w:rsidR="00A937D0" w:rsidRDefault="00A937D0" w:rsidP="00EB2213">
      <w:pPr>
        <w:pStyle w:val="BodyText"/>
      </w:pPr>
    </w:p>
    <w:p w14:paraId="1AC60F2C" w14:textId="3C332051" w:rsidR="009D473C" w:rsidRDefault="00C067F8" w:rsidP="009D473C">
      <w:pPr>
        <w:pStyle w:val="Heading1"/>
      </w:pPr>
      <w:r>
        <w:lastRenderedPageBreak/>
        <w:t xml:space="preserve">Willdan </w:t>
      </w:r>
      <w:r w:rsidR="00867355">
        <w:t>Standard Practice Analysis</w:t>
      </w:r>
    </w:p>
    <w:p w14:paraId="146A74E6" w14:textId="1870DE41" w:rsidR="00C067F8" w:rsidRDefault="00E97B19" w:rsidP="00C067F8">
      <w:pPr>
        <w:pStyle w:val="BodyText"/>
      </w:pPr>
      <w:r>
        <w:t>Following</w:t>
      </w:r>
      <w:r w:rsidR="0015150B">
        <w:t xml:space="preserve"> the approach used for MLC, </w:t>
      </w:r>
      <w:r w:rsidR="00A937D0">
        <w:t xml:space="preserve">the </w:t>
      </w:r>
      <w:proofErr w:type="spellStart"/>
      <w:r w:rsidR="0015150B">
        <w:t>Willd</w:t>
      </w:r>
      <w:r w:rsidR="00586E50">
        <w:t>a</w:t>
      </w:r>
      <w:r w:rsidR="0015150B">
        <w:t>n</w:t>
      </w:r>
      <w:proofErr w:type="spellEnd"/>
      <w:r w:rsidR="0015150B">
        <w:t xml:space="preserve"> </w:t>
      </w:r>
      <w:r w:rsidR="00A937D0">
        <w:t xml:space="preserve">team </w:t>
      </w:r>
      <w:proofErr w:type="spellStart"/>
      <w:r w:rsidR="00FB00FF" w:rsidRPr="00FB00FF">
        <w:t>analyzed</w:t>
      </w:r>
      <w:proofErr w:type="spellEnd"/>
      <w:r w:rsidR="0015150B">
        <w:t xml:space="preserve"> the </w:t>
      </w:r>
      <w:r w:rsidR="00A937D0">
        <w:t>2022</w:t>
      </w:r>
      <w:r w:rsidR="0015150B" w:rsidRPr="0015150B">
        <w:t xml:space="preserve"> DLC </w:t>
      </w:r>
      <w:r w:rsidR="00FB00FF">
        <w:t>data</w:t>
      </w:r>
      <w:r w:rsidR="0015150B" w:rsidRPr="0015150B">
        <w:t xml:space="preserve"> to estimate</w:t>
      </w:r>
      <w:r w:rsidR="0015150B">
        <w:t xml:space="preserve"> the LED</w:t>
      </w:r>
      <w:r w:rsidR="0015150B" w:rsidRPr="0015150B">
        <w:t xml:space="preserve"> </w:t>
      </w:r>
      <w:r w:rsidR="0015150B">
        <w:t xml:space="preserve">standard practice </w:t>
      </w:r>
      <w:r w:rsidR="0015150B" w:rsidRPr="0015150B">
        <w:t xml:space="preserve">and minimum eligibility performance in terms of </w:t>
      </w:r>
      <w:r w:rsidR="005759B1" w:rsidRPr="005759B1">
        <w:t>PPE</w:t>
      </w:r>
      <w:r w:rsidR="005759B1">
        <w:t xml:space="preserve">. </w:t>
      </w:r>
      <w:r>
        <w:t xml:space="preserve">In addition, </w:t>
      </w:r>
      <w:r w:rsidR="00A937D0">
        <w:t xml:space="preserve">the </w:t>
      </w:r>
      <w:r w:rsidR="005759B1">
        <w:t xml:space="preserve">Willdan </w:t>
      </w:r>
      <w:r w:rsidR="00A937D0">
        <w:t xml:space="preserve">team </w:t>
      </w:r>
      <w:r>
        <w:t xml:space="preserve">estimated </w:t>
      </w:r>
      <w:r w:rsidR="005759B1">
        <w:t>the a</w:t>
      </w:r>
      <w:r w:rsidR="005759B1" w:rsidRPr="005759B1">
        <w:t>nticipated annual improvements to the</w:t>
      </w:r>
      <w:r w:rsidR="005759B1">
        <w:t xml:space="preserve"> standard practice</w:t>
      </w:r>
      <w:r w:rsidR="00A937D0">
        <w:t xml:space="preserve"> to</w:t>
      </w:r>
      <w:r>
        <w:t xml:space="preserve"> be applicable </w:t>
      </w:r>
      <w:r w:rsidR="005759B1" w:rsidRPr="005759B1">
        <w:t xml:space="preserve">to AR </w:t>
      </w:r>
      <w:r w:rsidR="005759B1">
        <w:t>projects</w:t>
      </w:r>
      <w:r w:rsidR="00A937D0">
        <w:t xml:space="preserve"> for the second baseline period</w:t>
      </w:r>
      <w:r w:rsidR="005759B1">
        <w:t xml:space="preserve">. </w:t>
      </w:r>
      <w:r w:rsidRPr="00E97B19">
        <w:t>A key difference between this analysis and the approach used for general lighting is that LED technology is not assumed to be the standard practice.</w:t>
      </w:r>
      <w:r>
        <w:t xml:space="preserve"> </w:t>
      </w:r>
      <w:r w:rsidR="005D1508" w:rsidRPr="005D1508">
        <w:t xml:space="preserve">Thus, </w:t>
      </w:r>
      <w:r w:rsidR="00A937D0">
        <w:t xml:space="preserve">the </w:t>
      </w:r>
      <w:r w:rsidR="005D1508" w:rsidRPr="005D1508">
        <w:t xml:space="preserve">Willdan </w:t>
      </w:r>
      <w:r w:rsidR="00A937D0">
        <w:t xml:space="preserve">team </w:t>
      </w:r>
      <w:r w:rsidR="005D1508" w:rsidRPr="005D1508">
        <w:t>estimated an appropriate composite of the feasible technologies commonly implemented by using the</w:t>
      </w:r>
      <w:r w:rsidR="00A937D0">
        <w:t xml:space="preserve"> CBT</w:t>
      </w:r>
      <w:r w:rsidR="005D1508" w:rsidRPr="005D1508">
        <w:t xml:space="preserve"> </w:t>
      </w:r>
      <w:r w:rsidR="00707209">
        <w:t>“</w:t>
      </w:r>
      <w:r w:rsidR="005D1508" w:rsidRPr="005D1508">
        <w:t>historical</w:t>
      </w:r>
      <w:r w:rsidR="00707209">
        <w:t>”</w:t>
      </w:r>
      <w:r w:rsidR="005D1508" w:rsidRPr="005D1508">
        <w:t xml:space="preserve"> survey data </w:t>
      </w:r>
      <w:r w:rsidR="00A937D0">
        <w:t>referenced earlier</w:t>
      </w:r>
      <w:r w:rsidR="005D1508" w:rsidRPr="005D1508">
        <w:t>.</w:t>
      </w:r>
      <w:r w:rsidR="005D1508">
        <w:t xml:space="preserve"> </w:t>
      </w:r>
      <w:r w:rsidR="00FB00FF">
        <w:fldChar w:fldCharType="begin"/>
      </w:r>
      <w:r w:rsidR="00FB00FF">
        <w:instrText xml:space="preserve"> REF _Ref131690040 \h </w:instrText>
      </w:r>
      <w:r w:rsidR="00FB00FF">
        <w:fldChar w:fldCharType="separate"/>
      </w:r>
      <w:r w:rsidR="00355415">
        <w:t xml:space="preserve">Table </w:t>
      </w:r>
      <w:r w:rsidR="00355415">
        <w:rPr>
          <w:noProof/>
        </w:rPr>
        <w:t>4</w:t>
      </w:r>
      <w:r w:rsidR="00FB00FF">
        <w:fldChar w:fldCharType="end"/>
      </w:r>
      <w:r w:rsidR="00FB00FF">
        <w:t xml:space="preserve"> shows </w:t>
      </w:r>
      <w:proofErr w:type="spellStart"/>
      <w:r w:rsidR="00E6759D" w:rsidRPr="00E6759D">
        <w:t>Willdan</w:t>
      </w:r>
      <w:proofErr w:type="spellEnd"/>
      <w:r w:rsidR="00E6759D" w:rsidRPr="00E6759D">
        <w:t xml:space="preserve"> pr</w:t>
      </w:r>
      <w:r w:rsidR="00FB00FF">
        <w:t>oposal for</w:t>
      </w:r>
      <w:r w:rsidR="00E6759D" w:rsidRPr="00E6759D">
        <w:t xml:space="preserve"> standard practice and measure eligibility requirements </w:t>
      </w:r>
      <w:r w:rsidR="00E6759D">
        <w:t>for</w:t>
      </w:r>
      <w:r w:rsidR="00E6759D" w:rsidRPr="00E6759D">
        <w:t xml:space="preserve"> all stages of cannabis grow including propagation, vegetation</w:t>
      </w:r>
      <w:r w:rsidR="00707209">
        <w:t>,</w:t>
      </w:r>
      <w:r w:rsidR="00A937D0">
        <w:t xml:space="preserve"> and </w:t>
      </w:r>
      <w:r w:rsidR="00E6759D" w:rsidRPr="00E6759D">
        <w:t>flowering</w:t>
      </w:r>
      <w:r w:rsidR="00E6759D">
        <w:t>.</w:t>
      </w:r>
    </w:p>
    <w:p w14:paraId="4DB1C699" w14:textId="7956AF50" w:rsidR="00E6759D" w:rsidRPr="00E6759D" w:rsidRDefault="00E6759D" w:rsidP="00E6759D">
      <w:pPr>
        <w:pStyle w:val="Caption"/>
        <w:jc w:val="center"/>
        <w:rPr>
          <w:b w:val="0"/>
          <w:bCs/>
        </w:rPr>
      </w:pPr>
      <w:bookmarkStart w:id="0" w:name="_Ref131690040"/>
      <w:r>
        <w:t xml:space="preserve">Table </w:t>
      </w:r>
      <w:r>
        <w:fldChar w:fldCharType="begin"/>
      </w:r>
      <w:r>
        <w:instrText xml:space="preserve"> SEQ Table \* ARABIC </w:instrText>
      </w:r>
      <w:r>
        <w:fldChar w:fldCharType="separate"/>
      </w:r>
      <w:r w:rsidR="00355415">
        <w:rPr>
          <w:noProof/>
        </w:rPr>
        <w:t>4</w:t>
      </w:r>
      <w:r>
        <w:fldChar w:fldCharType="end"/>
      </w:r>
      <w:bookmarkEnd w:id="0"/>
      <w:r>
        <w:t xml:space="preserve"> </w:t>
      </w:r>
      <w:r w:rsidRPr="00E6759D">
        <w:rPr>
          <w:b w:val="0"/>
          <w:bCs/>
        </w:rPr>
        <w:t>Willdan Proposed Standard Practice and Measure Eligibility Requirements</w:t>
      </w:r>
    </w:p>
    <w:tbl>
      <w:tblPr>
        <w:tblW w:w="674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0"/>
        <w:gridCol w:w="866"/>
        <w:gridCol w:w="1251"/>
        <w:gridCol w:w="1315"/>
        <w:gridCol w:w="1263"/>
        <w:gridCol w:w="1350"/>
      </w:tblGrid>
      <w:tr w:rsidR="00E6759D" w:rsidRPr="00E6759D" w14:paraId="3C596CEB" w14:textId="77777777" w:rsidTr="00E6759D">
        <w:trPr>
          <w:trHeight w:val="21"/>
          <w:jc w:val="center"/>
        </w:trPr>
        <w:tc>
          <w:tcPr>
            <w:tcW w:w="700" w:type="dxa"/>
            <w:tcBorders>
              <w:bottom w:val="nil"/>
            </w:tcBorders>
          </w:tcPr>
          <w:p w14:paraId="57DBAE02" w14:textId="77777777" w:rsidR="00E6759D" w:rsidRPr="00E6759D" w:rsidRDefault="00E6759D" w:rsidP="00E6759D">
            <w:pPr>
              <w:keepNext/>
              <w:autoSpaceDE w:val="0"/>
              <w:autoSpaceDN w:val="0"/>
              <w:adjustRightInd w:val="0"/>
              <w:jc w:val="right"/>
              <w:rPr>
                <w:rFonts w:eastAsia="Calibri"/>
                <w:color w:val="000000"/>
                <w:sz w:val="16"/>
                <w:szCs w:val="16"/>
                <w:lang w:eastAsia="en-US"/>
              </w:rPr>
            </w:pPr>
          </w:p>
        </w:tc>
        <w:tc>
          <w:tcPr>
            <w:tcW w:w="4695" w:type="dxa"/>
            <w:gridSpan w:val="4"/>
          </w:tcPr>
          <w:p w14:paraId="21AF6975" w14:textId="77777777" w:rsidR="00E6759D" w:rsidRPr="00E6759D" w:rsidRDefault="00E6759D" w:rsidP="00E6759D">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Standard Practice</w:t>
            </w:r>
          </w:p>
        </w:tc>
        <w:tc>
          <w:tcPr>
            <w:tcW w:w="1350" w:type="dxa"/>
          </w:tcPr>
          <w:p w14:paraId="616D621A" w14:textId="77777777" w:rsidR="00E6759D" w:rsidRPr="00E6759D" w:rsidRDefault="00E6759D" w:rsidP="00E6759D">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Measure</w:t>
            </w:r>
          </w:p>
        </w:tc>
      </w:tr>
      <w:tr w:rsidR="00E6759D" w:rsidRPr="00E6759D" w14:paraId="075D0140" w14:textId="77777777" w:rsidTr="00E6759D">
        <w:trPr>
          <w:trHeight w:val="21"/>
          <w:jc w:val="center"/>
        </w:trPr>
        <w:tc>
          <w:tcPr>
            <w:tcW w:w="700" w:type="dxa"/>
            <w:tcBorders>
              <w:top w:val="nil"/>
            </w:tcBorders>
            <w:tcMar>
              <w:left w:w="58" w:type="dxa"/>
              <w:right w:w="58" w:type="dxa"/>
            </w:tcMar>
            <w:vAlign w:val="bottom"/>
          </w:tcPr>
          <w:p w14:paraId="4DB4354F" w14:textId="77777777" w:rsidR="00E6759D" w:rsidRPr="00E6759D" w:rsidRDefault="00E6759D" w:rsidP="00E6759D">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Year</w:t>
            </w:r>
          </w:p>
        </w:tc>
        <w:tc>
          <w:tcPr>
            <w:tcW w:w="866" w:type="dxa"/>
            <w:tcMar>
              <w:left w:w="58" w:type="dxa"/>
              <w:right w:w="58" w:type="dxa"/>
            </w:tcMar>
            <w:vAlign w:val="bottom"/>
          </w:tcPr>
          <w:p w14:paraId="156DEB8C" w14:textId="77777777" w:rsidR="00E6759D" w:rsidRPr="00E6759D" w:rsidRDefault="00E6759D" w:rsidP="00E6759D">
            <w:pPr>
              <w:keepNext/>
              <w:autoSpaceDE w:val="0"/>
              <w:autoSpaceDN w:val="0"/>
              <w:adjustRightInd w:val="0"/>
              <w:jc w:val="center"/>
              <w:rPr>
                <w:rFonts w:eastAsia="Calibri"/>
                <w:color w:val="000000"/>
                <w:sz w:val="16"/>
                <w:szCs w:val="16"/>
                <w:vertAlign w:val="superscript"/>
                <w:lang w:val="en-US" w:eastAsia="en-US"/>
              </w:rPr>
            </w:pPr>
            <w:r w:rsidRPr="00E6759D">
              <w:rPr>
                <w:rFonts w:eastAsia="Calibri"/>
                <w:color w:val="000000"/>
                <w:sz w:val="16"/>
                <w:szCs w:val="16"/>
                <w:lang w:val="en-US" w:eastAsia="en-US"/>
              </w:rPr>
              <w:t>LED Fraction</w:t>
            </w:r>
          </w:p>
        </w:tc>
        <w:tc>
          <w:tcPr>
            <w:tcW w:w="1251" w:type="dxa"/>
            <w:tcMar>
              <w:left w:w="58" w:type="dxa"/>
              <w:right w:w="58" w:type="dxa"/>
            </w:tcMar>
            <w:vAlign w:val="bottom"/>
          </w:tcPr>
          <w:p w14:paraId="34F21727" w14:textId="6AA30FB7" w:rsidR="00E6759D" w:rsidRPr="00E6759D" w:rsidRDefault="00E6759D" w:rsidP="00E6759D">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Non-LED Efficacy (µmol/</w:t>
            </w:r>
            <w:r w:rsidR="00C50680">
              <w:rPr>
                <w:rFonts w:eastAsia="Calibri"/>
                <w:color w:val="000000"/>
                <w:sz w:val="16"/>
                <w:szCs w:val="16"/>
                <w:lang w:val="en-US" w:eastAsia="en-US"/>
              </w:rPr>
              <w:t>J</w:t>
            </w:r>
            <w:r w:rsidRPr="00E6759D">
              <w:rPr>
                <w:rFonts w:eastAsia="Calibri"/>
                <w:color w:val="000000"/>
                <w:sz w:val="16"/>
                <w:szCs w:val="16"/>
                <w:lang w:val="en-US" w:eastAsia="en-US"/>
              </w:rPr>
              <w:t>)</w:t>
            </w:r>
          </w:p>
        </w:tc>
        <w:tc>
          <w:tcPr>
            <w:tcW w:w="1315" w:type="dxa"/>
            <w:tcMar>
              <w:left w:w="58" w:type="dxa"/>
              <w:right w:w="58" w:type="dxa"/>
            </w:tcMar>
            <w:vAlign w:val="bottom"/>
          </w:tcPr>
          <w:p w14:paraId="466EFCF9" w14:textId="436E6B79" w:rsidR="00E6759D" w:rsidRPr="00E6759D" w:rsidRDefault="00E6759D" w:rsidP="00E6759D">
            <w:pPr>
              <w:keepNext/>
              <w:autoSpaceDE w:val="0"/>
              <w:autoSpaceDN w:val="0"/>
              <w:adjustRightInd w:val="0"/>
              <w:jc w:val="center"/>
              <w:rPr>
                <w:rFonts w:eastAsia="Calibri"/>
                <w:color w:val="000000"/>
                <w:sz w:val="16"/>
                <w:szCs w:val="16"/>
                <w:vertAlign w:val="superscript"/>
                <w:lang w:val="en-US" w:eastAsia="en-US"/>
              </w:rPr>
            </w:pPr>
            <w:r w:rsidRPr="00E6759D">
              <w:rPr>
                <w:rFonts w:eastAsia="Calibri"/>
                <w:color w:val="000000"/>
                <w:sz w:val="16"/>
                <w:szCs w:val="16"/>
                <w:lang w:val="en-US" w:eastAsia="en-US"/>
              </w:rPr>
              <w:t>LED Efficacy (µmol/</w:t>
            </w:r>
            <w:r w:rsidR="00C50680">
              <w:rPr>
                <w:rFonts w:eastAsia="Calibri"/>
                <w:color w:val="000000"/>
                <w:sz w:val="16"/>
                <w:szCs w:val="16"/>
                <w:lang w:val="en-US" w:eastAsia="en-US"/>
              </w:rPr>
              <w:t>J</w:t>
            </w:r>
            <w:r w:rsidRPr="00E6759D">
              <w:rPr>
                <w:rFonts w:eastAsia="Calibri"/>
                <w:color w:val="000000"/>
                <w:sz w:val="16"/>
                <w:szCs w:val="16"/>
                <w:lang w:val="en-US" w:eastAsia="en-US"/>
              </w:rPr>
              <w:t>)</w:t>
            </w:r>
          </w:p>
        </w:tc>
        <w:tc>
          <w:tcPr>
            <w:tcW w:w="1263" w:type="dxa"/>
            <w:tcMar>
              <w:left w:w="58" w:type="dxa"/>
              <w:right w:w="58" w:type="dxa"/>
            </w:tcMar>
            <w:vAlign w:val="bottom"/>
          </w:tcPr>
          <w:p w14:paraId="2AEBB313" w14:textId="5BE68431" w:rsidR="00E6759D" w:rsidRPr="00E6759D" w:rsidRDefault="00E6759D" w:rsidP="00E6759D">
            <w:pPr>
              <w:keepNext/>
              <w:autoSpaceDE w:val="0"/>
              <w:autoSpaceDN w:val="0"/>
              <w:adjustRightInd w:val="0"/>
              <w:jc w:val="center"/>
              <w:rPr>
                <w:rFonts w:eastAsia="Calibri"/>
                <w:color w:val="000000"/>
                <w:sz w:val="16"/>
                <w:szCs w:val="16"/>
                <w:vertAlign w:val="superscript"/>
                <w:lang w:val="en-US" w:eastAsia="en-US"/>
              </w:rPr>
            </w:pPr>
            <w:r w:rsidRPr="00E6759D">
              <w:rPr>
                <w:rFonts w:eastAsia="Calibri"/>
                <w:color w:val="000000"/>
                <w:sz w:val="16"/>
                <w:szCs w:val="16"/>
                <w:lang w:val="en-US" w:eastAsia="en-US"/>
              </w:rPr>
              <w:t>Weighted Efficacy (µmol/</w:t>
            </w:r>
            <w:r w:rsidR="00C50680">
              <w:rPr>
                <w:rFonts w:eastAsia="Calibri"/>
                <w:color w:val="000000"/>
                <w:sz w:val="16"/>
                <w:szCs w:val="16"/>
                <w:lang w:val="en-US" w:eastAsia="en-US"/>
              </w:rPr>
              <w:t>J</w:t>
            </w:r>
            <w:r w:rsidRPr="00E6759D">
              <w:rPr>
                <w:rFonts w:eastAsia="Calibri"/>
                <w:color w:val="000000"/>
                <w:sz w:val="16"/>
                <w:szCs w:val="16"/>
                <w:lang w:val="en-US" w:eastAsia="en-US"/>
              </w:rPr>
              <w:t>)</w:t>
            </w:r>
          </w:p>
        </w:tc>
        <w:tc>
          <w:tcPr>
            <w:tcW w:w="1350" w:type="dxa"/>
            <w:tcMar>
              <w:left w:w="58" w:type="dxa"/>
              <w:right w:w="58" w:type="dxa"/>
            </w:tcMar>
            <w:vAlign w:val="bottom"/>
          </w:tcPr>
          <w:p w14:paraId="2F41B8D8" w14:textId="6C08777E" w:rsidR="00E6759D" w:rsidRPr="00E6759D" w:rsidRDefault="00E6759D" w:rsidP="00E6759D">
            <w:pPr>
              <w:keepNext/>
              <w:autoSpaceDE w:val="0"/>
              <w:autoSpaceDN w:val="0"/>
              <w:adjustRightInd w:val="0"/>
              <w:jc w:val="center"/>
              <w:rPr>
                <w:rFonts w:eastAsia="Calibri"/>
                <w:color w:val="000000"/>
                <w:sz w:val="16"/>
                <w:szCs w:val="16"/>
                <w:vertAlign w:val="superscript"/>
                <w:lang w:val="en-US" w:eastAsia="en-US"/>
              </w:rPr>
            </w:pPr>
            <w:r w:rsidRPr="00E6759D">
              <w:rPr>
                <w:rFonts w:eastAsia="Calibri"/>
                <w:color w:val="000000"/>
                <w:sz w:val="16"/>
                <w:szCs w:val="16"/>
                <w:lang w:val="en-US" w:eastAsia="en-US"/>
              </w:rPr>
              <w:t>Minimum LED Efficacy (µmol/</w:t>
            </w:r>
            <w:r w:rsidR="00C50680">
              <w:rPr>
                <w:rFonts w:eastAsia="Calibri"/>
                <w:color w:val="000000"/>
                <w:sz w:val="16"/>
                <w:szCs w:val="16"/>
                <w:lang w:val="en-US" w:eastAsia="en-US"/>
              </w:rPr>
              <w:t>J</w:t>
            </w:r>
            <w:r w:rsidRPr="00E6759D">
              <w:rPr>
                <w:rFonts w:eastAsia="Calibri"/>
                <w:color w:val="000000"/>
                <w:sz w:val="16"/>
                <w:szCs w:val="16"/>
                <w:lang w:val="en-US" w:eastAsia="en-US"/>
              </w:rPr>
              <w:t>)</w:t>
            </w:r>
          </w:p>
        </w:tc>
      </w:tr>
      <w:tr w:rsidR="00E6759D" w:rsidRPr="00E6759D" w14:paraId="0F1E2F4A" w14:textId="77777777" w:rsidTr="00E6759D">
        <w:trPr>
          <w:trHeight w:val="21"/>
          <w:jc w:val="center"/>
        </w:trPr>
        <w:tc>
          <w:tcPr>
            <w:tcW w:w="700" w:type="dxa"/>
          </w:tcPr>
          <w:p w14:paraId="1605B25E" w14:textId="77777777" w:rsidR="00E6759D" w:rsidRPr="00E6759D" w:rsidRDefault="00E6759D" w:rsidP="00E6759D">
            <w:pPr>
              <w:keepNext/>
              <w:autoSpaceDE w:val="0"/>
              <w:autoSpaceDN w:val="0"/>
              <w:adjustRightInd w:val="0"/>
              <w:jc w:val="right"/>
              <w:rPr>
                <w:rFonts w:eastAsia="Calibri"/>
                <w:color w:val="000000"/>
                <w:sz w:val="16"/>
                <w:szCs w:val="16"/>
                <w:lang w:val="en-US" w:eastAsia="en-US"/>
              </w:rPr>
            </w:pPr>
            <w:r w:rsidRPr="00E6759D">
              <w:rPr>
                <w:rFonts w:eastAsia="Calibri"/>
                <w:color w:val="000000"/>
                <w:sz w:val="16"/>
                <w:szCs w:val="16"/>
                <w:lang w:val="en-US" w:eastAsia="en-US"/>
              </w:rPr>
              <w:t>2023</w:t>
            </w:r>
          </w:p>
        </w:tc>
        <w:tc>
          <w:tcPr>
            <w:tcW w:w="866" w:type="dxa"/>
          </w:tcPr>
          <w:p w14:paraId="739889E0" w14:textId="77777777" w:rsidR="00E6759D" w:rsidRPr="00E6759D" w:rsidRDefault="00E6759D" w:rsidP="00E6759D">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75%</w:t>
            </w:r>
          </w:p>
        </w:tc>
        <w:tc>
          <w:tcPr>
            <w:tcW w:w="1251" w:type="dxa"/>
          </w:tcPr>
          <w:p w14:paraId="3DEE4C63" w14:textId="77777777" w:rsidR="00E6759D" w:rsidRPr="00E6759D" w:rsidRDefault="00E6759D" w:rsidP="00E6759D">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1.9</w:t>
            </w:r>
          </w:p>
        </w:tc>
        <w:tc>
          <w:tcPr>
            <w:tcW w:w="1315" w:type="dxa"/>
          </w:tcPr>
          <w:p w14:paraId="79F54F19" w14:textId="77777777" w:rsidR="00E6759D" w:rsidRPr="00E6759D" w:rsidRDefault="00E6759D" w:rsidP="00E6759D">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2.48</w:t>
            </w:r>
          </w:p>
        </w:tc>
        <w:tc>
          <w:tcPr>
            <w:tcW w:w="1263" w:type="dxa"/>
          </w:tcPr>
          <w:p w14:paraId="52E869D1" w14:textId="77777777" w:rsidR="00E6759D" w:rsidRPr="00E6759D" w:rsidRDefault="00E6759D" w:rsidP="00E6759D">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2.34</w:t>
            </w:r>
          </w:p>
        </w:tc>
        <w:tc>
          <w:tcPr>
            <w:tcW w:w="1350" w:type="dxa"/>
          </w:tcPr>
          <w:p w14:paraId="39305AF5" w14:textId="77777777" w:rsidR="00E6759D" w:rsidRPr="00E6759D" w:rsidRDefault="00E6759D" w:rsidP="00E6759D">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2.76</w:t>
            </w:r>
          </w:p>
        </w:tc>
      </w:tr>
      <w:tr w:rsidR="00E6759D" w:rsidRPr="00E6759D" w14:paraId="6B110431" w14:textId="77777777" w:rsidTr="00E6759D">
        <w:trPr>
          <w:trHeight w:val="21"/>
          <w:jc w:val="center"/>
        </w:trPr>
        <w:tc>
          <w:tcPr>
            <w:tcW w:w="700" w:type="dxa"/>
          </w:tcPr>
          <w:p w14:paraId="1408EBE6" w14:textId="77777777" w:rsidR="00E6759D" w:rsidRPr="00E6759D" w:rsidRDefault="00E6759D" w:rsidP="00E6759D">
            <w:pPr>
              <w:keepNext/>
              <w:autoSpaceDE w:val="0"/>
              <w:autoSpaceDN w:val="0"/>
              <w:adjustRightInd w:val="0"/>
              <w:jc w:val="right"/>
              <w:rPr>
                <w:rFonts w:eastAsia="Calibri"/>
                <w:color w:val="000000"/>
                <w:sz w:val="16"/>
                <w:szCs w:val="16"/>
                <w:lang w:val="en-US" w:eastAsia="en-US"/>
              </w:rPr>
            </w:pPr>
            <w:r w:rsidRPr="00E6759D">
              <w:rPr>
                <w:rFonts w:eastAsia="Calibri"/>
                <w:color w:val="000000"/>
                <w:sz w:val="16"/>
                <w:szCs w:val="16"/>
                <w:lang w:val="en-US" w:eastAsia="en-US"/>
              </w:rPr>
              <w:t>2024</w:t>
            </w:r>
          </w:p>
        </w:tc>
        <w:tc>
          <w:tcPr>
            <w:tcW w:w="866" w:type="dxa"/>
          </w:tcPr>
          <w:p w14:paraId="354E8B01" w14:textId="77777777" w:rsidR="00E6759D" w:rsidRPr="00E6759D" w:rsidRDefault="00E6759D" w:rsidP="00E6759D">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87.5%</w:t>
            </w:r>
          </w:p>
        </w:tc>
        <w:tc>
          <w:tcPr>
            <w:tcW w:w="1251" w:type="dxa"/>
          </w:tcPr>
          <w:p w14:paraId="213784E6" w14:textId="77777777" w:rsidR="00E6759D" w:rsidRPr="00E6759D" w:rsidRDefault="00E6759D" w:rsidP="00E6759D">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1.9</w:t>
            </w:r>
          </w:p>
        </w:tc>
        <w:tc>
          <w:tcPr>
            <w:tcW w:w="1315" w:type="dxa"/>
          </w:tcPr>
          <w:p w14:paraId="69F235BB" w14:textId="77777777" w:rsidR="00E6759D" w:rsidRPr="00E6759D" w:rsidRDefault="00E6759D" w:rsidP="00E6759D">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2.52</w:t>
            </w:r>
          </w:p>
        </w:tc>
        <w:tc>
          <w:tcPr>
            <w:tcW w:w="1263" w:type="dxa"/>
          </w:tcPr>
          <w:p w14:paraId="0C044065" w14:textId="77777777" w:rsidR="00E6759D" w:rsidRPr="00E6759D" w:rsidRDefault="00E6759D" w:rsidP="00E6759D">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2.44</w:t>
            </w:r>
          </w:p>
        </w:tc>
        <w:tc>
          <w:tcPr>
            <w:tcW w:w="1350" w:type="dxa"/>
          </w:tcPr>
          <w:p w14:paraId="1A272707" w14:textId="77777777" w:rsidR="00E6759D" w:rsidRPr="00E6759D" w:rsidRDefault="00E6759D" w:rsidP="00E6759D">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2.86</w:t>
            </w:r>
          </w:p>
        </w:tc>
      </w:tr>
      <w:tr w:rsidR="00E6759D" w:rsidRPr="00E6759D" w14:paraId="3FB97BDE" w14:textId="77777777" w:rsidTr="00E6759D">
        <w:trPr>
          <w:trHeight w:val="21"/>
          <w:jc w:val="center"/>
        </w:trPr>
        <w:tc>
          <w:tcPr>
            <w:tcW w:w="700" w:type="dxa"/>
          </w:tcPr>
          <w:p w14:paraId="06DAC50A" w14:textId="77777777" w:rsidR="00E6759D" w:rsidRPr="00E6759D" w:rsidRDefault="00E6759D" w:rsidP="00E6759D">
            <w:pPr>
              <w:autoSpaceDE w:val="0"/>
              <w:autoSpaceDN w:val="0"/>
              <w:adjustRightInd w:val="0"/>
              <w:jc w:val="right"/>
              <w:rPr>
                <w:rFonts w:eastAsia="Calibri"/>
                <w:color w:val="000000"/>
                <w:sz w:val="16"/>
                <w:szCs w:val="16"/>
                <w:lang w:val="en-US" w:eastAsia="en-US"/>
              </w:rPr>
            </w:pPr>
            <w:r w:rsidRPr="00E6759D">
              <w:rPr>
                <w:rFonts w:eastAsia="Calibri"/>
                <w:color w:val="000000"/>
                <w:sz w:val="16"/>
                <w:szCs w:val="16"/>
                <w:lang w:val="en-US" w:eastAsia="en-US"/>
              </w:rPr>
              <w:t>2025</w:t>
            </w:r>
          </w:p>
        </w:tc>
        <w:tc>
          <w:tcPr>
            <w:tcW w:w="866" w:type="dxa"/>
          </w:tcPr>
          <w:p w14:paraId="11C5C037" w14:textId="77777777" w:rsidR="00E6759D" w:rsidRPr="00E6759D" w:rsidRDefault="00E6759D" w:rsidP="00E6759D">
            <w:pPr>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100%</w:t>
            </w:r>
          </w:p>
        </w:tc>
        <w:tc>
          <w:tcPr>
            <w:tcW w:w="1251" w:type="dxa"/>
          </w:tcPr>
          <w:p w14:paraId="6A6BBE91" w14:textId="77777777" w:rsidR="00E6759D" w:rsidRPr="00E6759D" w:rsidRDefault="00E6759D" w:rsidP="00E6759D">
            <w:pPr>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1.9</w:t>
            </w:r>
          </w:p>
        </w:tc>
        <w:tc>
          <w:tcPr>
            <w:tcW w:w="1315" w:type="dxa"/>
          </w:tcPr>
          <w:p w14:paraId="427AB08B" w14:textId="77777777" w:rsidR="00E6759D" w:rsidRPr="00E6759D" w:rsidRDefault="00E6759D" w:rsidP="00E6759D">
            <w:pPr>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2.56</w:t>
            </w:r>
          </w:p>
        </w:tc>
        <w:tc>
          <w:tcPr>
            <w:tcW w:w="1263" w:type="dxa"/>
          </w:tcPr>
          <w:p w14:paraId="77D3A59A" w14:textId="77777777" w:rsidR="00E6759D" w:rsidRPr="00E6759D" w:rsidRDefault="00E6759D" w:rsidP="00E6759D">
            <w:pPr>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2.56</w:t>
            </w:r>
          </w:p>
        </w:tc>
        <w:tc>
          <w:tcPr>
            <w:tcW w:w="1350" w:type="dxa"/>
          </w:tcPr>
          <w:p w14:paraId="0D84EE5F" w14:textId="77777777" w:rsidR="00E6759D" w:rsidRPr="00E6759D" w:rsidRDefault="00E6759D" w:rsidP="00E6759D">
            <w:pPr>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2.96</w:t>
            </w:r>
          </w:p>
        </w:tc>
      </w:tr>
    </w:tbl>
    <w:p w14:paraId="568D1246" w14:textId="65E1D6C9" w:rsidR="00931D91" w:rsidRDefault="005D1508" w:rsidP="00931D91">
      <w:pPr>
        <w:pStyle w:val="BodyText"/>
      </w:pPr>
      <w:r w:rsidRPr="005D1508">
        <w:t xml:space="preserve">Willdan suggested an annual improvement rate of 0.04 µmol/J for LED standard practice efficacy. </w:t>
      </w:r>
      <w:proofErr w:type="gramStart"/>
      <w:r w:rsidRPr="005D1508">
        <w:t>Similar to</w:t>
      </w:r>
      <w:proofErr w:type="gramEnd"/>
      <w:r w:rsidRPr="005D1508">
        <w:t xml:space="preserve"> MLC, the eligibility for measures is set at the 75th percentile of DLC-listed products, with an annual improvement rate of 0.10 µmol/J for efficacy</w:t>
      </w:r>
      <w:r w:rsidR="00931D91">
        <w:t xml:space="preserve">. For multi-level and </w:t>
      </w:r>
      <w:r w:rsidR="002A37CC">
        <w:t>stacked</w:t>
      </w:r>
      <w:r w:rsidR="00931D91">
        <w:t xml:space="preserve"> grow architectures, Willdan propose</w:t>
      </w:r>
      <w:r w:rsidR="005C0212">
        <w:t>d</w:t>
      </w:r>
      <w:r w:rsidR="00931D91">
        <w:t xml:space="preserve"> a standard practice </w:t>
      </w:r>
      <w:r w:rsidR="002A37CC">
        <w:t>of</w:t>
      </w:r>
      <w:r w:rsidR="00931D91">
        <w:t xml:space="preserve"> 100% LED with an efficacy in the column “LED Efficacy.” Values in the “Weighted Efficacy” column are for single level architectures only.</w:t>
      </w:r>
    </w:p>
    <w:p w14:paraId="0BB42219" w14:textId="3A363839" w:rsidR="009C4CE6" w:rsidRDefault="005D1508" w:rsidP="009C4CE6">
      <w:pPr>
        <w:pStyle w:val="BodyText"/>
      </w:pPr>
      <w:r w:rsidRPr="005D1508">
        <w:t xml:space="preserve">While we generally agree with the Willdan </w:t>
      </w:r>
      <w:r w:rsidR="00707209">
        <w:t xml:space="preserve">team’s </w:t>
      </w:r>
      <w:r w:rsidRPr="005D1508">
        <w:t xml:space="preserve">approach and appreciate the use of a similar approach to the statewide lighting approach for cannabis lighting, we identified </w:t>
      </w:r>
      <w:r w:rsidR="009C4CE6">
        <w:t xml:space="preserve">two </w:t>
      </w:r>
      <w:r w:rsidRPr="005D1508">
        <w:t>issues in this analysis</w:t>
      </w:r>
      <w:r w:rsidR="000C782C">
        <w:t xml:space="preserve">. The </w:t>
      </w:r>
      <w:r w:rsidR="009C4CE6">
        <w:t>first</w:t>
      </w:r>
      <w:r w:rsidR="000C782C">
        <w:t xml:space="preserve"> issu</w:t>
      </w:r>
      <w:r w:rsidR="00707209">
        <w:t>e</w:t>
      </w:r>
      <w:r w:rsidR="000C782C">
        <w:t xml:space="preserve"> </w:t>
      </w:r>
      <w:r w:rsidR="009C4CE6">
        <w:t xml:space="preserve">regarding </w:t>
      </w:r>
      <w:r w:rsidR="000C782C">
        <w:t xml:space="preserve">errors in reported </w:t>
      </w:r>
      <w:r w:rsidR="007A5874">
        <w:t>survey results</w:t>
      </w:r>
      <w:r w:rsidR="000C782C">
        <w:t xml:space="preserve"> from </w:t>
      </w:r>
      <w:r w:rsidR="00174B7D">
        <w:t>CBT</w:t>
      </w:r>
      <w:r w:rsidR="000C782C">
        <w:t xml:space="preserve"> ha</w:t>
      </w:r>
      <w:r w:rsidR="009C4CE6">
        <w:t>s</w:t>
      </w:r>
      <w:r w:rsidR="000C782C">
        <w:t xml:space="preserve"> already been addressed in a revised study submitted by Willdan. The other issue is </w:t>
      </w:r>
      <w:r w:rsidR="009C4CE6">
        <w:t xml:space="preserve">related to the assumption that LED fraction in the market must reach 100% for LEDs to be considered standard practice. In practice, it is not necessary to wait for market saturation to reach 90-100% before declaring a technology as standard practice. Typically, a 70% share of "new installations" is sufficient to establish a technology as standard practice. </w:t>
      </w:r>
      <w:r w:rsidR="007A5874" w:rsidRPr="007A5874">
        <w:t>As noted in previous quotations of CPUC Decision and Resolution language</w:t>
      </w:r>
      <w:r w:rsidR="007A5874">
        <w:t>, w</w:t>
      </w:r>
      <w:r w:rsidR="009C4CE6">
        <w:t xml:space="preserve">hen a technology becomes predominant, the CPUC mandates its adoption as the standard practice. Given the current 70% share of installed LEDs and the consistent upward trend in LED adoption over the past seven years, it is evident that new installations should prioritize a significantly higher proportion of LEDs to align with the prevailing market trend. Therefore, it can be argued that LEDs have already been established as the standard practice. We </w:t>
      </w:r>
      <w:r w:rsidR="003E56A6">
        <w:t>think these</w:t>
      </w:r>
      <w:r w:rsidR="009C4CE6">
        <w:t xml:space="preserve"> standard practice values presented</w:t>
      </w:r>
      <w:r w:rsidR="003E56A6">
        <w:t xml:space="preserve"> by Willdan</w:t>
      </w:r>
      <w:r w:rsidR="009C4CE6">
        <w:t xml:space="preserve">, which incorporate a technology mix including non-LED technologies, may be overly </w:t>
      </w:r>
      <w:r w:rsidR="007A5874">
        <w:t>generous</w:t>
      </w:r>
      <w:r w:rsidR="009C4CE6">
        <w:t xml:space="preserve">. </w:t>
      </w:r>
    </w:p>
    <w:p w14:paraId="5562C081" w14:textId="77777777" w:rsidR="003E56A6" w:rsidRDefault="003E56A6" w:rsidP="009C4CE6">
      <w:pPr>
        <w:pStyle w:val="BodyText"/>
      </w:pPr>
    </w:p>
    <w:p w14:paraId="546B86E2" w14:textId="0724EDE0" w:rsidR="00C067F8" w:rsidRDefault="00C067F8" w:rsidP="00C067F8">
      <w:pPr>
        <w:pStyle w:val="Heading1"/>
      </w:pPr>
      <w:r>
        <w:t>TRC Standard Practice Analysis</w:t>
      </w:r>
    </w:p>
    <w:p w14:paraId="79F73B30" w14:textId="54017F51" w:rsidR="003E56A6" w:rsidRDefault="007A5874" w:rsidP="00F03453">
      <w:pPr>
        <w:pStyle w:val="BodyText"/>
      </w:pPr>
      <w:r>
        <w:t xml:space="preserve">The </w:t>
      </w:r>
      <w:r w:rsidR="002A4F63" w:rsidRPr="002A4F63">
        <w:t>TRC</w:t>
      </w:r>
      <w:r>
        <w:t xml:space="preserve"> proposal</w:t>
      </w:r>
      <w:r w:rsidR="002A4F63" w:rsidRPr="002A4F63">
        <w:t xml:space="preserve"> relied on </w:t>
      </w:r>
      <w:r w:rsidR="00B74F79">
        <w:t>literature review as well as interviews with stakeholders (e.g., vendors, manufacturers, industry experts, etc.)</w:t>
      </w:r>
      <w:r w:rsidR="002A4F63" w:rsidRPr="002A4F63">
        <w:t xml:space="preserve"> </w:t>
      </w:r>
      <w:r w:rsidR="00B74F79">
        <w:t>and</w:t>
      </w:r>
      <w:r w:rsidR="002A4F63" w:rsidRPr="002A4F63">
        <w:t xml:space="preserve"> conclude</w:t>
      </w:r>
      <w:r w:rsidR="00B74F79">
        <w:t>d</w:t>
      </w:r>
      <w:r w:rsidR="002A4F63" w:rsidRPr="002A4F63">
        <w:t xml:space="preserve"> that LED is the standard practice technology for most grow stages, </w:t>
      </w:r>
      <w:proofErr w:type="gramStart"/>
      <w:r w:rsidR="002A4F63" w:rsidRPr="002A4F63">
        <w:t>with the exception of</w:t>
      </w:r>
      <w:proofErr w:type="gramEnd"/>
      <w:r w:rsidR="002A4F63" w:rsidRPr="002A4F63">
        <w:t xml:space="preserve"> the single layer flowering stage with double-ended HPS as the standard practice technology. </w:t>
      </w:r>
      <w:r w:rsidR="00B74F79" w:rsidRPr="00B74F79">
        <w:t xml:space="preserve">It should be noted that the flowering activity areas </w:t>
      </w:r>
      <w:r w:rsidR="00B74F79">
        <w:t>are the</w:t>
      </w:r>
      <w:r w:rsidR="00B74F79" w:rsidRPr="00B74F79">
        <w:t xml:space="preserve"> predominant area as well as electric consumption determinator of cannabis grow facilities, thus </w:t>
      </w:r>
      <w:r w:rsidR="00B74F79">
        <w:t xml:space="preserve">often </w:t>
      </w:r>
      <w:r w:rsidR="00B74F79" w:rsidRPr="00B74F79">
        <w:t xml:space="preserve">the primary driver of </w:t>
      </w:r>
      <w:r w:rsidR="00B74F79">
        <w:t>usage and savings</w:t>
      </w:r>
      <w:r w:rsidR="00B74F79" w:rsidRPr="00B74F79">
        <w:t xml:space="preserve">. </w:t>
      </w:r>
      <w:r w:rsidR="00CE5FB4" w:rsidRPr="00CE5FB4">
        <w:t xml:space="preserve">Although the study concluded that double-ended HPS is the standard practice technology for the single layer flowering stage, the study still used a mixed-technology efficacy that included LEDs, HPSs, </w:t>
      </w:r>
      <w:r w:rsidR="000B6FF2">
        <w:t xml:space="preserve">CMHs (ceramic metal halide), </w:t>
      </w:r>
      <w:r w:rsidR="00CE5FB4" w:rsidRPr="00CE5FB4">
        <w:t>Fluorescent, and others for the flowering stage</w:t>
      </w:r>
      <w:r w:rsidR="00A73172">
        <w:t xml:space="preserve">. </w:t>
      </w:r>
      <w:r w:rsidR="002A4F63" w:rsidRPr="002A4F63">
        <w:t xml:space="preserve">Data sources used to calculate the standard practice efficacy included </w:t>
      </w:r>
      <w:r w:rsidR="00E34FB1" w:rsidRPr="00E34FB1">
        <w:t xml:space="preserve">publicly available test data for </w:t>
      </w:r>
      <w:r w:rsidR="002A4F63" w:rsidRPr="002A4F63">
        <w:t>LEDs</w:t>
      </w:r>
      <w:r w:rsidR="000B6FF2">
        <w:t xml:space="preserve"> and HIDs</w:t>
      </w:r>
      <w:r w:rsidR="003E56A6">
        <w:t xml:space="preserve">, </w:t>
      </w:r>
      <w:r w:rsidR="002A4F63" w:rsidRPr="002A4F63">
        <w:t>DLC data</w:t>
      </w:r>
      <w:r w:rsidR="000B6FF2">
        <w:t>,</w:t>
      </w:r>
      <w:r w:rsidR="003E56A6">
        <w:t xml:space="preserve"> and </w:t>
      </w:r>
      <w:r w:rsidR="00B74F79">
        <w:t xml:space="preserve">the </w:t>
      </w:r>
      <w:r w:rsidR="003E56A6">
        <w:t xml:space="preserve">survey data from </w:t>
      </w:r>
      <w:r w:rsidR="00174B7D">
        <w:t>CBT</w:t>
      </w:r>
      <w:r w:rsidR="002A4F63" w:rsidRPr="002A4F63">
        <w:t xml:space="preserve">. </w:t>
      </w:r>
      <w:r w:rsidR="00782718">
        <w:fldChar w:fldCharType="begin"/>
      </w:r>
      <w:r w:rsidR="00782718">
        <w:instrText xml:space="preserve"> REF _Ref131781986 \h </w:instrText>
      </w:r>
      <w:r w:rsidR="00782718">
        <w:fldChar w:fldCharType="separate"/>
      </w:r>
      <w:r w:rsidR="003E56A6">
        <w:t xml:space="preserve">Table </w:t>
      </w:r>
      <w:r w:rsidR="003E56A6">
        <w:rPr>
          <w:noProof/>
        </w:rPr>
        <w:t>5</w:t>
      </w:r>
      <w:r w:rsidR="00782718">
        <w:fldChar w:fldCharType="end"/>
      </w:r>
      <w:r w:rsidR="00782718">
        <w:t xml:space="preserve"> shows the final </w:t>
      </w:r>
      <w:r w:rsidR="00707209">
        <w:t xml:space="preserve">proposal </w:t>
      </w:r>
      <w:r w:rsidR="00782718">
        <w:t xml:space="preserve">from this study. </w:t>
      </w:r>
      <w:bookmarkStart w:id="1" w:name="_Ref131781986"/>
    </w:p>
    <w:p w14:paraId="257C3AD1" w14:textId="05EDC286" w:rsidR="00243734" w:rsidRPr="00E6759D" w:rsidRDefault="00243734" w:rsidP="00243734">
      <w:pPr>
        <w:pStyle w:val="Caption"/>
        <w:jc w:val="center"/>
        <w:rPr>
          <w:b w:val="0"/>
          <w:bCs/>
        </w:rPr>
      </w:pPr>
      <w:r>
        <w:t xml:space="preserve">Table </w:t>
      </w:r>
      <w:r>
        <w:fldChar w:fldCharType="begin"/>
      </w:r>
      <w:r>
        <w:instrText xml:space="preserve"> SEQ Table \* ARABIC </w:instrText>
      </w:r>
      <w:r>
        <w:fldChar w:fldCharType="separate"/>
      </w:r>
      <w:r w:rsidR="003E56A6">
        <w:rPr>
          <w:noProof/>
        </w:rPr>
        <w:t>5</w:t>
      </w:r>
      <w:r>
        <w:fldChar w:fldCharType="end"/>
      </w:r>
      <w:bookmarkEnd w:id="1"/>
      <w:r>
        <w:t xml:space="preserve"> </w:t>
      </w:r>
      <w:r>
        <w:rPr>
          <w:b w:val="0"/>
          <w:bCs/>
        </w:rPr>
        <w:t>TRC</w:t>
      </w:r>
      <w:r w:rsidRPr="00E6759D">
        <w:rPr>
          <w:b w:val="0"/>
          <w:bCs/>
        </w:rPr>
        <w:t xml:space="preserve"> Proposed Standard Practice and Measure Eligibility Requirements</w:t>
      </w:r>
    </w:p>
    <w:tbl>
      <w:tblPr>
        <w:tblW w:w="82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45"/>
        <w:gridCol w:w="1350"/>
        <w:gridCol w:w="1530"/>
        <w:gridCol w:w="1815"/>
        <w:gridCol w:w="1350"/>
      </w:tblGrid>
      <w:tr w:rsidR="00A86729" w:rsidRPr="00E6759D" w14:paraId="4D5EB749" w14:textId="77777777" w:rsidTr="004E798E">
        <w:trPr>
          <w:trHeight w:val="21"/>
          <w:jc w:val="center"/>
        </w:trPr>
        <w:tc>
          <w:tcPr>
            <w:tcW w:w="2245" w:type="dxa"/>
            <w:tcBorders>
              <w:bottom w:val="nil"/>
            </w:tcBorders>
            <w:vAlign w:val="center"/>
          </w:tcPr>
          <w:p w14:paraId="29E91CCC" w14:textId="77777777" w:rsidR="00243734" w:rsidRPr="00E6759D" w:rsidRDefault="00243734" w:rsidP="00667946">
            <w:pPr>
              <w:keepNext/>
              <w:autoSpaceDE w:val="0"/>
              <w:autoSpaceDN w:val="0"/>
              <w:adjustRightInd w:val="0"/>
              <w:jc w:val="right"/>
              <w:rPr>
                <w:rFonts w:eastAsia="Calibri"/>
                <w:color w:val="000000"/>
                <w:sz w:val="16"/>
                <w:szCs w:val="16"/>
                <w:lang w:eastAsia="en-US"/>
              </w:rPr>
            </w:pPr>
          </w:p>
        </w:tc>
        <w:tc>
          <w:tcPr>
            <w:tcW w:w="4695" w:type="dxa"/>
            <w:gridSpan w:val="3"/>
            <w:vAlign w:val="center"/>
          </w:tcPr>
          <w:p w14:paraId="6F0292C7" w14:textId="77777777" w:rsidR="00243734" w:rsidRPr="00E6759D" w:rsidRDefault="00243734" w:rsidP="00667946">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Standard Practice</w:t>
            </w:r>
          </w:p>
        </w:tc>
        <w:tc>
          <w:tcPr>
            <w:tcW w:w="1350" w:type="dxa"/>
            <w:vAlign w:val="center"/>
          </w:tcPr>
          <w:p w14:paraId="50C5BFDF" w14:textId="77777777" w:rsidR="00243734" w:rsidRPr="00E6759D" w:rsidRDefault="00243734" w:rsidP="00667946">
            <w:pPr>
              <w:keepNext/>
              <w:autoSpaceDE w:val="0"/>
              <w:autoSpaceDN w:val="0"/>
              <w:adjustRightInd w:val="0"/>
              <w:jc w:val="center"/>
              <w:rPr>
                <w:rFonts w:eastAsia="Calibri"/>
                <w:color w:val="000000"/>
                <w:sz w:val="16"/>
                <w:szCs w:val="16"/>
                <w:lang w:val="en-US" w:eastAsia="en-US"/>
              </w:rPr>
            </w:pPr>
            <w:r w:rsidRPr="00E6759D">
              <w:rPr>
                <w:rFonts w:eastAsia="Calibri"/>
                <w:color w:val="000000"/>
                <w:sz w:val="16"/>
                <w:szCs w:val="16"/>
                <w:lang w:val="en-US" w:eastAsia="en-US"/>
              </w:rPr>
              <w:t>Measure</w:t>
            </w:r>
          </w:p>
        </w:tc>
      </w:tr>
      <w:tr w:rsidR="00A86729" w:rsidRPr="00E6759D" w14:paraId="261D5E73" w14:textId="77777777" w:rsidTr="003B0655">
        <w:trPr>
          <w:trHeight w:val="21"/>
          <w:jc w:val="center"/>
        </w:trPr>
        <w:tc>
          <w:tcPr>
            <w:tcW w:w="2245" w:type="dxa"/>
            <w:tcBorders>
              <w:top w:val="nil"/>
            </w:tcBorders>
            <w:tcMar>
              <w:left w:w="58" w:type="dxa"/>
              <w:right w:w="58" w:type="dxa"/>
            </w:tcMar>
            <w:vAlign w:val="center"/>
          </w:tcPr>
          <w:p w14:paraId="45AA4D3A" w14:textId="14B499AF" w:rsidR="00A86729" w:rsidRPr="00E6759D" w:rsidRDefault="00A86729" w:rsidP="00667946">
            <w:pPr>
              <w:keepNext/>
              <w:autoSpaceDE w:val="0"/>
              <w:autoSpaceDN w:val="0"/>
              <w:adjustRightInd w:val="0"/>
              <w:jc w:val="center"/>
              <w:rPr>
                <w:rFonts w:eastAsia="Calibri"/>
                <w:color w:val="000000"/>
                <w:sz w:val="16"/>
                <w:szCs w:val="16"/>
                <w:lang w:val="en-US" w:eastAsia="en-US"/>
              </w:rPr>
            </w:pPr>
            <w:r>
              <w:rPr>
                <w:rFonts w:eastAsia="Calibri"/>
                <w:color w:val="000000"/>
                <w:sz w:val="16"/>
                <w:szCs w:val="16"/>
                <w:lang w:val="en-US" w:eastAsia="en-US"/>
              </w:rPr>
              <w:t>Stage/ Architecture</w:t>
            </w:r>
          </w:p>
        </w:tc>
        <w:tc>
          <w:tcPr>
            <w:tcW w:w="1350" w:type="dxa"/>
            <w:tcMar>
              <w:left w:w="58" w:type="dxa"/>
              <w:right w:w="58" w:type="dxa"/>
            </w:tcMar>
            <w:vAlign w:val="center"/>
          </w:tcPr>
          <w:p w14:paraId="31617E84" w14:textId="0BF9A105" w:rsidR="00A86729" w:rsidRPr="00E6759D" w:rsidRDefault="0004166E" w:rsidP="00A86729">
            <w:pPr>
              <w:keepNext/>
              <w:autoSpaceDE w:val="0"/>
              <w:autoSpaceDN w:val="0"/>
              <w:adjustRightInd w:val="0"/>
              <w:jc w:val="center"/>
              <w:rPr>
                <w:rFonts w:eastAsia="Calibri"/>
                <w:color w:val="000000"/>
                <w:sz w:val="16"/>
                <w:szCs w:val="16"/>
                <w:vertAlign w:val="superscript"/>
                <w:lang w:val="en-US" w:eastAsia="en-US"/>
              </w:rPr>
            </w:pPr>
            <w:r w:rsidRPr="0004166E">
              <w:rPr>
                <w:rFonts w:eastAsia="Calibri"/>
                <w:color w:val="000000"/>
                <w:sz w:val="16"/>
                <w:szCs w:val="16"/>
                <w:lang w:val="en-US" w:eastAsia="en-US"/>
              </w:rPr>
              <w:t>LED Fraction</w:t>
            </w:r>
          </w:p>
        </w:tc>
        <w:tc>
          <w:tcPr>
            <w:tcW w:w="1530" w:type="dxa"/>
            <w:tcMar>
              <w:left w:w="58" w:type="dxa"/>
              <w:right w:w="58" w:type="dxa"/>
            </w:tcMar>
            <w:vAlign w:val="center"/>
          </w:tcPr>
          <w:p w14:paraId="043F5CA2" w14:textId="42B97B00" w:rsidR="00A86729" w:rsidRPr="00E6759D" w:rsidRDefault="00A86729" w:rsidP="00667946">
            <w:pPr>
              <w:keepNext/>
              <w:autoSpaceDE w:val="0"/>
              <w:autoSpaceDN w:val="0"/>
              <w:adjustRightInd w:val="0"/>
              <w:jc w:val="center"/>
              <w:rPr>
                <w:rFonts w:eastAsia="Calibri"/>
                <w:color w:val="000000"/>
                <w:sz w:val="16"/>
                <w:szCs w:val="16"/>
                <w:lang w:val="en-US" w:eastAsia="en-US"/>
              </w:rPr>
            </w:pPr>
            <w:r w:rsidRPr="00A86729">
              <w:rPr>
                <w:rFonts w:eastAsia="Calibri"/>
                <w:color w:val="000000"/>
                <w:sz w:val="16"/>
                <w:szCs w:val="16"/>
                <w:lang w:val="en-US" w:eastAsia="en-US"/>
              </w:rPr>
              <w:t>Weighted Efficacy by Technology Mix (µmol/J)</w:t>
            </w:r>
          </w:p>
        </w:tc>
        <w:tc>
          <w:tcPr>
            <w:tcW w:w="1815" w:type="dxa"/>
            <w:tcMar>
              <w:left w:w="58" w:type="dxa"/>
              <w:right w:w="58" w:type="dxa"/>
            </w:tcMar>
            <w:vAlign w:val="center"/>
          </w:tcPr>
          <w:p w14:paraId="33B7488E" w14:textId="5AB53FC5" w:rsidR="00A86729" w:rsidRPr="00E6759D" w:rsidRDefault="00A86729" w:rsidP="00667946">
            <w:pPr>
              <w:keepNext/>
              <w:autoSpaceDE w:val="0"/>
              <w:autoSpaceDN w:val="0"/>
              <w:adjustRightInd w:val="0"/>
              <w:jc w:val="center"/>
              <w:rPr>
                <w:rFonts w:eastAsia="Calibri"/>
                <w:color w:val="000000"/>
                <w:sz w:val="16"/>
                <w:szCs w:val="16"/>
                <w:vertAlign w:val="superscript"/>
                <w:lang w:val="en-US" w:eastAsia="en-US"/>
              </w:rPr>
            </w:pPr>
            <w:bookmarkStart w:id="2" w:name="_Hlk131782311"/>
            <w:r w:rsidRPr="00A86729">
              <w:rPr>
                <w:rFonts w:eastAsia="Calibri"/>
                <w:color w:val="000000"/>
                <w:sz w:val="16"/>
                <w:szCs w:val="16"/>
                <w:lang w:val="en-US" w:eastAsia="en-US"/>
              </w:rPr>
              <w:t xml:space="preserve">Proposed Standard Practice Efficacy </w:t>
            </w:r>
            <w:bookmarkEnd w:id="2"/>
            <w:r w:rsidRPr="00A86729">
              <w:rPr>
                <w:rFonts w:eastAsia="Calibri"/>
                <w:color w:val="000000"/>
                <w:sz w:val="16"/>
                <w:szCs w:val="16"/>
                <w:lang w:val="en-US" w:eastAsia="en-US"/>
              </w:rPr>
              <w:t>(µmol/J</w:t>
            </w:r>
            <w:r w:rsidRPr="00E6759D">
              <w:rPr>
                <w:rFonts w:eastAsia="Calibri"/>
                <w:color w:val="000000"/>
                <w:sz w:val="16"/>
                <w:szCs w:val="16"/>
                <w:lang w:val="en-US" w:eastAsia="en-US"/>
              </w:rPr>
              <w:t>)</w:t>
            </w:r>
          </w:p>
        </w:tc>
        <w:tc>
          <w:tcPr>
            <w:tcW w:w="1350" w:type="dxa"/>
            <w:tcMar>
              <w:left w:w="58" w:type="dxa"/>
              <w:right w:w="58" w:type="dxa"/>
            </w:tcMar>
            <w:vAlign w:val="center"/>
          </w:tcPr>
          <w:p w14:paraId="19672C5B" w14:textId="77777777" w:rsidR="00A86729" w:rsidRPr="00E6759D" w:rsidRDefault="00A86729" w:rsidP="00667946">
            <w:pPr>
              <w:keepNext/>
              <w:autoSpaceDE w:val="0"/>
              <w:autoSpaceDN w:val="0"/>
              <w:adjustRightInd w:val="0"/>
              <w:jc w:val="center"/>
              <w:rPr>
                <w:rFonts w:eastAsia="Calibri"/>
                <w:color w:val="000000"/>
                <w:sz w:val="16"/>
                <w:szCs w:val="16"/>
                <w:vertAlign w:val="superscript"/>
                <w:lang w:val="en-US" w:eastAsia="en-US"/>
              </w:rPr>
            </w:pPr>
            <w:r w:rsidRPr="00E6759D">
              <w:rPr>
                <w:rFonts w:eastAsia="Calibri"/>
                <w:color w:val="000000"/>
                <w:sz w:val="16"/>
                <w:szCs w:val="16"/>
                <w:lang w:val="en-US" w:eastAsia="en-US"/>
              </w:rPr>
              <w:t>Minimum LED Efficacy (µmol/</w:t>
            </w:r>
            <w:r>
              <w:rPr>
                <w:rFonts w:eastAsia="Calibri"/>
                <w:color w:val="000000"/>
                <w:sz w:val="16"/>
                <w:szCs w:val="16"/>
                <w:lang w:val="en-US" w:eastAsia="en-US"/>
              </w:rPr>
              <w:t>J</w:t>
            </w:r>
            <w:r w:rsidRPr="00E6759D">
              <w:rPr>
                <w:rFonts w:eastAsia="Calibri"/>
                <w:color w:val="000000"/>
                <w:sz w:val="16"/>
                <w:szCs w:val="16"/>
                <w:lang w:val="en-US" w:eastAsia="en-US"/>
              </w:rPr>
              <w:t>)</w:t>
            </w:r>
          </w:p>
        </w:tc>
      </w:tr>
      <w:tr w:rsidR="004E798E" w:rsidRPr="00E6759D" w14:paraId="37997433" w14:textId="77777777" w:rsidTr="003B0655">
        <w:trPr>
          <w:trHeight w:val="21"/>
          <w:jc w:val="center"/>
        </w:trPr>
        <w:tc>
          <w:tcPr>
            <w:tcW w:w="2245" w:type="dxa"/>
            <w:vAlign w:val="center"/>
          </w:tcPr>
          <w:p w14:paraId="4FBD2EE1" w14:textId="3F983709" w:rsidR="004E798E" w:rsidRPr="00E6759D" w:rsidRDefault="004E798E" w:rsidP="004E798E">
            <w:pPr>
              <w:keepNext/>
              <w:autoSpaceDE w:val="0"/>
              <w:autoSpaceDN w:val="0"/>
              <w:adjustRightInd w:val="0"/>
              <w:rPr>
                <w:rFonts w:eastAsia="Calibri"/>
                <w:color w:val="000000"/>
                <w:sz w:val="16"/>
                <w:szCs w:val="16"/>
                <w:lang w:val="en-US" w:eastAsia="en-US"/>
              </w:rPr>
            </w:pPr>
            <w:r w:rsidRPr="00A86729">
              <w:rPr>
                <w:rFonts w:eastAsia="Calibri"/>
                <w:color w:val="000000"/>
                <w:sz w:val="16"/>
                <w:szCs w:val="16"/>
                <w:lang w:val="en-US" w:eastAsia="en-US"/>
              </w:rPr>
              <w:t>Propagation</w:t>
            </w:r>
          </w:p>
        </w:tc>
        <w:tc>
          <w:tcPr>
            <w:tcW w:w="1350" w:type="dxa"/>
            <w:vAlign w:val="center"/>
          </w:tcPr>
          <w:p w14:paraId="27BC440F" w14:textId="4644D6D6" w:rsidR="004E798E" w:rsidRPr="00E6759D" w:rsidRDefault="0004166E" w:rsidP="004E798E">
            <w:pPr>
              <w:keepNext/>
              <w:autoSpaceDE w:val="0"/>
              <w:autoSpaceDN w:val="0"/>
              <w:adjustRightInd w:val="0"/>
              <w:jc w:val="center"/>
              <w:rPr>
                <w:rFonts w:eastAsia="Calibri"/>
                <w:color w:val="000000"/>
                <w:sz w:val="16"/>
                <w:szCs w:val="16"/>
                <w:lang w:val="en-US" w:eastAsia="en-US"/>
              </w:rPr>
            </w:pPr>
            <w:r>
              <w:rPr>
                <w:rFonts w:eastAsia="Calibri"/>
                <w:color w:val="000000"/>
                <w:sz w:val="16"/>
                <w:szCs w:val="16"/>
                <w:lang w:val="en-US" w:eastAsia="en-US"/>
              </w:rPr>
              <w:t>41.7%</w:t>
            </w:r>
          </w:p>
        </w:tc>
        <w:tc>
          <w:tcPr>
            <w:tcW w:w="1530" w:type="dxa"/>
            <w:vAlign w:val="center"/>
          </w:tcPr>
          <w:p w14:paraId="7C8BB083" w14:textId="1148C06C" w:rsidR="004E798E" w:rsidRPr="00E6759D" w:rsidRDefault="004E798E" w:rsidP="004E798E">
            <w:pPr>
              <w:keepNext/>
              <w:autoSpaceDE w:val="0"/>
              <w:autoSpaceDN w:val="0"/>
              <w:adjustRightInd w:val="0"/>
              <w:jc w:val="center"/>
              <w:rPr>
                <w:rFonts w:eastAsia="Calibri"/>
                <w:color w:val="000000"/>
                <w:sz w:val="16"/>
                <w:szCs w:val="16"/>
                <w:lang w:val="en-US" w:eastAsia="en-US"/>
              </w:rPr>
            </w:pPr>
            <w:r w:rsidRPr="004E798E">
              <w:rPr>
                <w:rFonts w:eastAsia="Calibri"/>
                <w:color w:val="000000"/>
                <w:sz w:val="16"/>
                <w:szCs w:val="16"/>
                <w:lang w:val="en-US" w:eastAsia="en-US"/>
              </w:rPr>
              <w:t>1.57</w:t>
            </w:r>
          </w:p>
        </w:tc>
        <w:tc>
          <w:tcPr>
            <w:tcW w:w="1815" w:type="dxa"/>
            <w:vAlign w:val="center"/>
          </w:tcPr>
          <w:p w14:paraId="08BF881D" w14:textId="755C8206" w:rsidR="004E798E" w:rsidRPr="00E6759D" w:rsidRDefault="004E798E" w:rsidP="004E798E">
            <w:pPr>
              <w:keepNext/>
              <w:autoSpaceDE w:val="0"/>
              <w:autoSpaceDN w:val="0"/>
              <w:adjustRightInd w:val="0"/>
              <w:jc w:val="center"/>
              <w:rPr>
                <w:rFonts w:eastAsia="Calibri"/>
                <w:color w:val="000000"/>
                <w:sz w:val="16"/>
                <w:szCs w:val="16"/>
                <w:lang w:val="en-US" w:eastAsia="en-US"/>
              </w:rPr>
            </w:pPr>
            <w:r w:rsidRPr="004E798E">
              <w:rPr>
                <w:rFonts w:eastAsia="Calibri"/>
                <w:color w:val="000000"/>
                <w:sz w:val="16"/>
                <w:szCs w:val="16"/>
                <w:lang w:val="en-US" w:eastAsia="en-US"/>
              </w:rPr>
              <w:t>2.20</w:t>
            </w:r>
          </w:p>
        </w:tc>
        <w:tc>
          <w:tcPr>
            <w:tcW w:w="1350" w:type="dxa"/>
            <w:vAlign w:val="center"/>
          </w:tcPr>
          <w:p w14:paraId="36D57FED" w14:textId="499E9EF7" w:rsidR="004E798E" w:rsidRPr="00E6759D" w:rsidRDefault="004E798E" w:rsidP="004E798E">
            <w:pPr>
              <w:keepNext/>
              <w:autoSpaceDE w:val="0"/>
              <w:autoSpaceDN w:val="0"/>
              <w:adjustRightInd w:val="0"/>
              <w:jc w:val="center"/>
              <w:rPr>
                <w:rFonts w:eastAsia="Calibri"/>
                <w:color w:val="000000"/>
                <w:sz w:val="16"/>
                <w:szCs w:val="16"/>
                <w:lang w:val="en-US" w:eastAsia="en-US"/>
              </w:rPr>
            </w:pPr>
            <w:r w:rsidRPr="004E798E">
              <w:rPr>
                <w:rFonts w:eastAsia="Calibri"/>
                <w:color w:val="000000"/>
                <w:sz w:val="16"/>
                <w:szCs w:val="16"/>
                <w:lang w:val="en-US" w:eastAsia="en-US"/>
              </w:rPr>
              <w:t>2.44</w:t>
            </w:r>
          </w:p>
        </w:tc>
      </w:tr>
      <w:tr w:rsidR="004E798E" w:rsidRPr="00E6759D" w14:paraId="5E875C50" w14:textId="77777777" w:rsidTr="003B0655">
        <w:trPr>
          <w:trHeight w:val="21"/>
          <w:jc w:val="center"/>
        </w:trPr>
        <w:tc>
          <w:tcPr>
            <w:tcW w:w="2245" w:type="dxa"/>
            <w:vAlign w:val="center"/>
          </w:tcPr>
          <w:p w14:paraId="150B9ED9" w14:textId="4D8431DB" w:rsidR="004E798E" w:rsidRPr="00E6759D" w:rsidRDefault="004E798E" w:rsidP="004E798E">
            <w:pPr>
              <w:keepNext/>
              <w:autoSpaceDE w:val="0"/>
              <w:autoSpaceDN w:val="0"/>
              <w:adjustRightInd w:val="0"/>
              <w:rPr>
                <w:rFonts w:eastAsia="Calibri"/>
                <w:color w:val="000000"/>
                <w:sz w:val="16"/>
                <w:szCs w:val="16"/>
                <w:lang w:val="en-US" w:eastAsia="en-US"/>
              </w:rPr>
            </w:pPr>
            <w:r w:rsidRPr="00A86729">
              <w:rPr>
                <w:rFonts w:eastAsia="Calibri"/>
                <w:color w:val="000000"/>
                <w:sz w:val="16"/>
                <w:szCs w:val="16"/>
                <w:lang w:val="en-US" w:eastAsia="en-US"/>
              </w:rPr>
              <w:t>Vegetative</w:t>
            </w:r>
          </w:p>
        </w:tc>
        <w:tc>
          <w:tcPr>
            <w:tcW w:w="1350" w:type="dxa"/>
            <w:vAlign w:val="center"/>
          </w:tcPr>
          <w:p w14:paraId="79D9A7E5" w14:textId="39F098AB" w:rsidR="004E798E" w:rsidRPr="00E6759D" w:rsidRDefault="0004166E" w:rsidP="004E798E">
            <w:pPr>
              <w:keepNext/>
              <w:autoSpaceDE w:val="0"/>
              <w:autoSpaceDN w:val="0"/>
              <w:adjustRightInd w:val="0"/>
              <w:jc w:val="center"/>
              <w:rPr>
                <w:rFonts w:eastAsia="Calibri"/>
                <w:color w:val="000000"/>
                <w:sz w:val="16"/>
                <w:szCs w:val="16"/>
                <w:lang w:val="en-US" w:eastAsia="en-US"/>
              </w:rPr>
            </w:pPr>
            <w:r>
              <w:rPr>
                <w:rFonts w:eastAsia="Calibri"/>
                <w:color w:val="000000"/>
                <w:sz w:val="16"/>
                <w:szCs w:val="16"/>
                <w:lang w:val="en-US" w:eastAsia="en-US"/>
              </w:rPr>
              <w:t>37.9%</w:t>
            </w:r>
          </w:p>
        </w:tc>
        <w:tc>
          <w:tcPr>
            <w:tcW w:w="1530" w:type="dxa"/>
            <w:vAlign w:val="center"/>
          </w:tcPr>
          <w:p w14:paraId="2E0AFDD2" w14:textId="485597AA" w:rsidR="004E798E" w:rsidRPr="00E6759D" w:rsidRDefault="004E798E" w:rsidP="004E798E">
            <w:pPr>
              <w:keepNext/>
              <w:autoSpaceDE w:val="0"/>
              <w:autoSpaceDN w:val="0"/>
              <w:adjustRightInd w:val="0"/>
              <w:jc w:val="center"/>
              <w:rPr>
                <w:rFonts w:eastAsia="Calibri"/>
                <w:color w:val="000000"/>
                <w:sz w:val="16"/>
                <w:szCs w:val="16"/>
                <w:lang w:val="en-US" w:eastAsia="en-US"/>
              </w:rPr>
            </w:pPr>
            <w:r w:rsidRPr="004E798E">
              <w:rPr>
                <w:rFonts w:eastAsia="Calibri"/>
                <w:color w:val="000000"/>
                <w:sz w:val="16"/>
                <w:szCs w:val="16"/>
                <w:lang w:val="en-US" w:eastAsia="en-US"/>
              </w:rPr>
              <w:t>1.65</w:t>
            </w:r>
          </w:p>
        </w:tc>
        <w:tc>
          <w:tcPr>
            <w:tcW w:w="1815" w:type="dxa"/>
            <w:vAlign w:val="center"/>
          </w:tcPr>
          <w:p w14:paraId="1065E4D8" w14:textId="78F51A76" w:rsidR="004E798E" w:rsidRPr="00E6759D" w:rsidRDefault="004E798E" w:rsidP="004E798E">
            <w:pPr>
              <w:keepNext/>
              <w:autoSpaceDE w:val="0"/>
              <w:autoSpaceDN w:val="0"/>
              <w:adjustRightInd w:val="0"/>
              <w:jc w:val="center"/>
              <w:rPr>
                <w:rFonts w:eastAsia="Calibri"/>
                <w:color w:val="000000"/>
                <w:sz w:val="16"/>
                <w:szCs w:val="16"/>
                <w:lang w:val="en-US" w:eastAsia="en-US"/>
              </w:rPr>
            </w:pPr>
            <w:r w:rsidRPr="004E798E">
              <w:rPr>
                <w:rFonts w:eastAsia="Calibri"/>
                <w:color w:val="000000"/>
                <w:sz w:val="16"/>
                <w:szCs w:val="16"/>
                <w:lang w:val="en-US" w:eastAsia="en-US"/>
              </w:rPr>
              <w:t>2.20</w:t>
            </w:r>
          </w:p>
        </w:tc>
        <w:tc>
          <w:tcPr>
            <w:tcW w:w="1350" w:type="dxa"/>
            <w:vAlign w:val="center"/>
          </w:tcPr>
          <w:p w14:paraId="3008D95C" w14:textId="65454E0F" w:rsidR="004E798E" w:rsidRPr="00E6759D" w:rsidRDefault="004E798E" w:rsidP="004E798E">
            <w:pPr>
              <w:keepNext/>
              <w:autoSpaceDE w:val="0"/>
              <w:autoSpaceDN w:val="0"/>
              <w:adjustRightInd w:val="0"/>
              <w:jc w:val="center"/>
              <w:rPr>
                <w:rFonts w:eastAsia="Calibri"/>
                <w:color w:val="000000"/>
                <w:sz w:val="16"/>
                <w:szCs w:val="16"/>
                <w:lang w:val="en-US" w:eastAsia="en-US"/>
              </w:rPr>
            </w:pPr>
            <w:r w:rsidRPr="004E798E">
              <w:rPr>
                <w:rFonts w:eastAsia="Calibri"/>
                <w:color w:val="000000"/>
                <w:sz w:val="16"/>
                <w:szCs w:val="16"/>
                <w:lang w:val="en-US" w:eastAsia="en-US"/>
              </w:rPr>
              <w:t>2.44</w:t>
            </w:r>
          </w:p>
        </w:tc>
      </w:tr>
      <w:tr w:rsidR="004E798E" w:rsidRPr="00E6759D" w14:paraId="59657DAD" w14:textId="77777777" w:rsidTr="003B0655">
        <w:trPr>
          <w:trHeight w:val="21"/>
          <w:jc w:val="center"/>
        </w:trPr>
        <w:tc>
          <w:tcPr>
            <w:tcW w:w="2245" w:type="dxa"/>
            <w:vAlign w:val="center"/>
          </w:tcPr>
          <w:p w14:paraId="09ED4441" w14:textId="63797360" w:rsidR="004E798E" w:rsidRPr="00E6759D" w:rsidRDefault="004E798E" w:rsidP="004E798E">
            <w:pPr>
              <w:keepNext/>
              <w:autoSpaceDE w:val="0"/>
              <w:autoSpaceDN w:val="0"/>
              <w:adjustRightInd w:val="0"/>
              <w:rPr>
                <w:rFonts w:eastAsia="Calibri"/>
                <w:color w:val="000000"/>
                <w:sz w:val="16"/>
                <w:szCs w:val="16"/>
                <w:lang w:val="en-US" w:eastAsia="en-US"/>
              </w:rPr>
            </w:pPr>
            <w:r w:rsidRPr="00A86729">
              <w:rPr>
                <w:rFonts w:eastAsia="Calibri"/>
                <w:color w:val="000000"/>
                <w:sz w:val="16"/>
                <w:szCs w:val="16"/>
                <w:lang w:val="en-US" w:eastAsia="en-US"/>
              </w:rPr>
              <w:t>Flowering</w:t>
            </w:r>
          </w:p>
        </w:tc>
        <w:tc>
          <w:tcPr>
            <w:tcW w:w="1350" w:type="dxa"/>
            <w:vAlign w:val="center"/>
          </w:tcPr>
          <w:p w14:paraId="6E602742" w14:textId="4F5BFEFB" w:rsidR="004E798E" w:rsidRPr="00E6759D" w:rsidRDefault="0004166E" w:rsidP="004E798E">
            <w:pPr>
              <w:autoSpaceDE w:val="0"/>
              <w:autoSpaceDN w:val="0"/>
              <w:adjustRightInd w:val="0"/>
              <w:jc w:val="center"/>
              <w:rPr>
                <w:rFonts w:eastAsia="Calibri"/>
                <w:color w:val="000000"/>
                <w:sz w:val="16"/>
                <w:szCs w:val="16"/>
                <w:lang w:val="en-US" w:eastAsia="en-US"/>
              </w:rPr>
            </w:pPr>
            <w:r>
              <w:rPr>
                <w:rFonts w:eastAsia="Calibri"/>
                <w:color w:val="000000"/>
                <w:sz w:val="16"/>
                <w:szCs w:val="16"/>
                <w:lang w:val="en-US" w:eastAsia="en-US"/>
              </w:rPr>
              <w:t>49.4%</w:t>
            </w:r>
          </w:p>
        </w:tc>
        <w:tc>
          <w:tcPr>
            <w:tcW w:w="1530" w:type="dxa"/>
            <w:vAlign w:val="center"/>
          </w:tcPr>
          <w:p w14:paraId="79CF1146" w14:textId="4EB9E21D" w:rsidR="004E798E" w:rsidRPr="00E6759D" w:rsidRDefault="004E798E" w:rsidP="004E798E">
            <w:pPr>
              <w:keepNext/>
              <w:autoSpaceDE w:val="0"/>
              <w:autoSpaceDN w:val="0"/>
              <w:adjustRightInd w:val="0"/>
              <w:jc w:val="center"/>
              <w:rPr>
                <w:rFonts w:eastAsia="Calibri"/>
                <w:color w:val="000000"/>
                <w:sz w:val="16"/>
                <w:szCs w:val="16"/>
                <w:lang w:val="en-US" w:eastAsia="en-US"/>
              </w:rPr>
            </w:pPr>
            <w:r w:rsidRPr="004E798E">
              <w:rPr>
                <w:rFonts w:eastAsia="Calibri"/>
                <w:color w:val="000000"/>
                <w:sz w:val="16"/>
                <w:szCs w:val="16"/>
                <w:lang w:val="en-US" w:eastAsia="en-US"/>
              </w:rPr>
              <w:t>1.85</w:t>
            </w:r>
          </w:p>
        </w:tc>
        <w:tc>
          <w:tcPr>
            <w:tcW w:w="1815" w:type="dxa"/>
            <w:vAlign w:val="center"/>
          </w:tcPr>
          <w:p w14:paraId="20A4E2E1" w14:textId="6E050B7D" w:rsidR="004E798E" w:rsidRPr="00E6759D" w:rsidRDefault="004E798E" w:rsidP="004E798E">
            <w:pPr>
              <w:keepNext/>
              <w:autoSpaceDE w:val="0"/>
              <w:autoSpaceDN w:val="0"/>
              <w:adjustRightInd w:val="0"/>
              <w:jc w:val="center"/>
              <w:rPr>
                <w:rFonts w:eastAsia="Calibri"/>
                <w:color w:val="000000"/>
                <w:sz w:val="16"/>
                <w:szCs w:val="16"/>
                <w:lang w:val="en-US" w:eastAsia="en-US"/>
              </w:rPr>
            </w:pPr>
            <w:r w:rsidRPr="004E798E">
              <w:rPr>
                <w:rFonts w:eastAsia="Calibri"/>
                <w:color w:val="000000"/>
                <w:sz w:val="16"/>
                <w:szCs w:val="16"/>
                <w:lang w:val="en-US" w:eastAsia="en-US"/>
              </w:rPr>
              <w:t>1.85</w:t>
            </w:r>
          </w:p>
        </w:tc>
        <w:tc>
          <w:tcPr>
            <w:tcW w:w="1350" w:type="dxa"/>
            <w:vAlign w:val="center"/>
          </w:tcPr>
          <w:p w14:paraId="70A086EF" w14:textId="2ED0779B" w:rsidR="004E798E" w:rsidRPr="00E6759D" w:rsidRDefault="004E798E" w:rsidP="004E798E">
            <w:pPr>
              <w:keepNext/>
              <w:autoSpaceDE w:val="0"/>
              <w:autoSpaceDN w:val="0"/>
              <w:adjustRightInd w:val="0"/>
              <w:jc w:val="center"/>
              <w:rPr>
                <w:rFonts w:eastAsia="Calibri"/>
                <w:color w:val="000000"/>
                <w:sz w:val="16"/>
                <w:szCs w:val="16"/>
                <w:lang w:val="en-US" w:eastAsia="en-US"/>
              </w:rPr>
            </w:pPr>
            <w:r w:rsidRPr="004E798E">
              <w:rPr>
                <w:rFonts w:eastAsia="Calibri"/>
                <w:color w:val="000000"/>
                <w:sz w:val="16"/>
                <w:szCs w:val="16"/>
                <w:lang w:val="en-US" w:eastAsia="en-US"/>
              </w:rPr>
              <w:t>2.44</w:t>
            </w:r>
          </w:p>
        </w:tc>
      </w:tr>
    </w:tbl>
    <w:p w14:paraId="230FD2BB" w14:textId="735A4F23" w:rsidR="00AC6F8C" w:rsidRDefault="000B6FF2" w:rsidP="005C6CCE">
      <w:pPr>
        <w:pStyle w:val="BodyText"/>
      </w:pPr>
      <w:r>
        <w:t xml:space="preserve">For stacked operations, TRC </w:t>
      </w:r>
      <w:r w:rsidR="00707209">
        <w:t>proposed</w:t>
      </w:r>
      <w:r>
        <w:t xml:space="preserve"> a 100% LED standard practice baseline with an efficacy of 2.2 </w:t>
      </w:r>
      <w:r w:rsidRPr="000B6FF2">
        <w:t>µmol/J</w:t>
      </w:r>
      <w:r>
        <w:t>.</w:t>
      </w:r>
    </w:p>
    <w:p w14:paraId="7347E613" w14:textId="47D624A8" w:rsidR="0004166E" w:rsidRDefault="000B6FF2" w:rsidP="0004166E">
      <w:pPr>
        <w:pStyle w:val="BodyText"/>
      </w:pPr>
      <w:r w:rsidRPr="000B6FF2">
        <w:t>While we appreciate</w:t>
      </w:r>
      <w:r w:rsidR="00B74F79">
        <w:t xml:space="preserve"> the</w:t>
      </w:r>
      <w:r w:rsidRPr="000B6FF2">
        <w:t xml:space="preserve"> TRC</w:t>
      </w:r>
      <w:r w:rsidR="00B74F79">
        <w:t xml:space="preserve"> team</w:t>
      </w:r>
      <w:r w:rsidRPr="000B6FF2">
        <w:t xml:space="preserve">'s efforts to establish standard practice values for cannabis lighting, we have identified several issues with their study. We will focus on the flowering stage, but it's important to note that these issues apply to </w:t>
      </w:r>
      <w:r w:rsidR="00686984">
        <w:t xml:space="preserve">the </w:t>
      </w:r>
      <w:r w:rsidRPr="000B6FF2">
        <w:t>TRC</w:t>
      </w:r>
      <w:r w:rsidR="00686984">
        <w:t xml:space="preserve"> team</w:t>
      </w:r>
      <w:r w:rsidRPr="000B6FF2">
        <w:t>'s analysis for all grow stages</w:t>
      </w:r>
      <w:r w:rsidR="0004166E">
        <w:t xml:space="preserve">. </w:t>
      </w:r>
    </w:p>
    <w:p w14:paraId="663F1A2F" w14:textId="57CE3AE9" w:rsidR="00DF4CCC" w:rsidRDefault="00686984" w:rsidP="0004166E">
      <w:pPr>
        <w:pStyle w:val="BodyText"/>
      </w:pPr>
      <w:r>
        <w:t xml:space="preserve">The </w:t>
      </w:r>
      <w:r w:rsidR="00DF4CCC">
        <w:t xml:space="preserve">TRC </w:t>
      </w:r>
      <w:r>
        <w:t xml:space="preserve">team’s analysis </w:t>
      </w:r>
      <w:r w:rsidR="00DF4CCC">
        <w:t>calculated the baseline efficacy for single layer flowering to be a</w:t>
      </w:r>
      <w:r w:rsidR="00FB5A7A">
        <w:t xml:space="preserve"> mixed technology</w:t>
      </w:r>
      <w:r w:rsidR="00DF4CCC">
        <w:t xml:space="preserve"> baseline with an efficacy of 1.85 µmol/J. This </w:t>
      </w:r>
      <w:r w:rsidR="0004166E">
        <w:t xml:space="preserve">value </w:t>
      </w:r>
      <w:r w:rsidR="00DF4CCC">
        <w:t xml:space="preserve">was calculated assuming the standard practice baseline consists of 49.4% LEDs </w:t>
      </w:r>
      <w:r w:rsidR="0004166E">
        <w:t>(</w:t>
      </w:r>
      <w:r w:rsidR="00DF4CCC">
        <w:t>with an average efficacy of 2.2 µmol/J</w:t>
      </w:r>
      <w:r w:rsidR="0004166E">
        <w:t>)</w:t>
      </w:r>
      <w:r w:rsidR="00DF4CCC">
        <w:t xml:space="preserve">, 39% DE HPS </w:t>
      </w:r>
      <w:r w:rsidR="0004166E">
        <w:t>(</w:t>
      </w:r>
      <w:r w:rsidR="00DF4CCC">
        <w:t>with an average efficacy of 1.67 µmol/J</w:t>
      </w:r>
      <w:r w:rsidR="0004166E">
        <w:t>)</w:t>
      </w:r>
      <w:r w:rsidR="00DF4CCC">
        <w:t xml:space="preserve">, 2.6% of CMH </w:t>
      </w:r>
      <w:r w:rsidR="0004166E">
        <w:t>(</w:t>
      </w:r>
      <w:r w:rsidR="00DF4CCC">
        <w:t>with average efficacy of 1.43 µmol/J</w:t>
      </w:r>
      <w:r w:rsidR="0004166E">
        <w:t>)</w:t>
      </w:r>
      <w:r w:rsidR="00134242">
        <w:t>,</w:t>
      </w:r>
      <w:r w:rsidR="00DF4CCC">
        <w:t xml:space="preserve"> 9.1% of </w:t>
      </w:r>
      <w:r w:rsidR="00134242">
        <w:t>f</w:t>
      </w:r>
      <w:r w:rsidR="00DF4CCC">
        <w:t xml:space="preserve">luorescent </w:t>
      </w:r>
      <w:r w:rsidR="00134242">
        <w:t xml:space="preserve">lighting </w:t>
      </w:r>
      <w:r w:rsidR="0004166E">
        <w:t>(</w:t>
      </w:r>
      <w:r w:rsidR="00DF4CCC">
        <w:t>with an average efficacy of 0.92</w:t>
      </w:r>
      <w:r w:rsidR="0004166E">
        <w:t xml:space="preserve"> µmol/J), </w:t>
      </w:r>
      <w:r w:rsidR="00FB5A7A">
        <w:t xml:space="preserve">and </w:t>
      </w:r>
      <w:r w:rsidR="0004166E">
        <w:t>5.2% of other lighting (with an average efficacy of 3.6</w:t>
      </w:r>
      <w:r w:rsidR="0004166E" w:rsidRPr="0004166E">
        <w:t xml:space="preserve"> </w:t>
      </w:r>
      <w:r w:rsidR="0004166E">
        <w:t>µmol/J)</w:t>
      </w:r>
      <w:r w:rsidR="00DF4CCC">
        <w:t>. We have several concerns about these assumptions:</w:t>
      </w:r>
    </w:p>
    <w:p w14:paraId="1DDC5C03" w14:textId="1DB6EAA4" w:rsidR="00DF4CCC" w:rsidRDefault="00DF4CCC" w:rsidP="0004166E">
      <w:pPr>
        <w:pStyle w:val="BodyText"/>
        <w:numPr>
          <w:ilvl w:val="0"/>
          <w:numId w:val="40"/>
        </w:numPr>
      </w:pPr>
      <w:r>
        <w:t xml:space="preserve">The </w:t>
      </w:r>
      <w:r w:rsidR="00686984">
        <w:t>CBT</w:t>
      </w:r>
      <w:r w:rsidR="00134242">
        <w:t xml:space="preserve"> </w:t>
      </w:r>
      <w:r>
        <w:t xml:space="preserve">survey data utilized </w:t>
      </w:r>
      <w:r w:rsidR="00686984">
        <w:t xml:space="preserve">in the </w:t>
      </w:r>
      <w:r w:rsidR="00642FAD">
        <w:t>TRC</w:t>
      </w:r>
      <w:r>
        <w:t xml:space="preserve"> </w:t>
      </w:r>
      <w:r w:rsidR="00686984">
        <w:t xml:space="preserve">proposal </w:t>
      </w:r>
      <w:r>
        <w:t xml:space="preserve">to determine the technology mix reveals a significantly higher saturation of LEDs. According to this data, the existing installations indicate a LED saturation rate of approximately 75%. However, it's important to note that CPUC defines standard practice based on </w:t>
      </w:r>
      <w:r w:rsidR="00134242">
        <w:t>new</w:t>
      </w:r>
      <w:r>
        <w:t xml:space="preserve"> installations rather than the cumulative adoption indicated by the saturation rates of previously installed technology. </w:t>
      </w:r>
      <w:r w:rsidR="000B6FF2">
        <w:t>Given</w:t>
      </w:r>
      <w:r w:rsidR="00642FAD" w:rsidRPr="00642FAD">
        <w:t xml:space="preserve"> the current installations already </w:t>
      </w:r>
      <w:r w:rsidR="000B6FF2">
        <w:t>comprise</w:t>
      </w:r>
      <w:r w:rsidR="00642FAD" w:rsidRPr="00642FAD">
        <w:t xml:space="preserve"> 75% LEDs and there </w:t>
      </w:r>
      <w:r w:rsidR="000B6FF2">
        <w:t>has been</w:t>
      </w:r>
      <w:r w:rsidR="00642FAD" w:rsidRPr="00642FAD">
        <w:t xml:space="preserve"> a consistent upward trend in LED installations over the past seven years, it </w:t>
      </w:r>
      <w:r w:rsidR="000B6FF2">
        <w:t>is reasonable to expect</w:t>
      </w:r>
      <w:r w:rsidR="00642FAD" w:rsidRPr="00642FAD">
        <w:t xml:space="preserve"> that new and retrofitted projects </w:t>
      </w:r>
      <w:r w:rsidR="000B6FF2">
        <w:t>will</w:t>
      </w:r>
      <w:r w:rsidR="00642FAD" w:rsidRPr="00642FAD">
        <w:t xml:space="preserve"> have an even higher proportion of LEDs to align with the </w:t>
      </w:r>
      <w:r w:rsidR="000121B7" w:rsidRPr="000121B7">
        <w:t xml:space="preserve">prevailing </w:t>
      </w:r>
      <w:r w:rsidR="000121B7">
        <w:t>market</w:t>
      </w:r>
      <w:r w:rsidR="00642FAD" w:rsidRPr="00642FAD">
        <w:t xml:space="preserve"> shift towards LED technology.</w:t>
      </w:r>
      <w:r w:rsidR="00642FAD">
        <w:t xml:space="preserve"> </w:t>
      </w:r>
      <w:r>
        <w:t xml:space="preserve">Contrary to this expectation, </w:t>
      </w:r>
      <w:r w:rsidR="00134242">
        <w:t>TRC</w:t>
      </w:r>
      <w:r>
        <w:t xml:space="preserve"> assumed a lower LED fraction and derated the current LED installations</w:t>
      </w:r>
      <w:r w:rsidR="00134242">
        <w:t xml:space="preserve"> </w:t>
      </w:r>
      <w:r w:rsidR="00686984">
        <w:t>asserting</w:t>
      </w:r>
      <w:r>
        <w:t xml:space="preserve"> that the </w:t>
      </w:r>
      <w:r w:rsidR="00134242">
        <w:t xml:space="preserve">survey </w:t>
      </w:r>
      <w:r>
        <w:t>data includes 30% vertical operations with 100% LEDs</w:t>
      </w:r>
      <w:r w:rsidR="00686984" w:rsidRPr="00686984">
        <w:t xml:space="preserve"> thus reducing the LED content of the balance of operations</w:t>
      </w:r>
      <w:r>
        <w:t xml:space="preserve">. </w:t>
      </w:r>
      <w:r w:rsidR="00642FAD" w:rsidRPr="00642FAD">
        <w:t>Considering that 75% of installed cases are LEDs (accounting for the 30% vertical operations with 100% LEDs), it can be inferred that the remaining non-vertical operations should have an even higher penetration of LEDs to keep up with the upward trend. Therefore, the TRC's derating approach is not justified</w:t>
      </w:r>
      <w:r w:rsidR="00686984">
        <w:t xml:space="preserve"> </w:t>
      </w:r>
      <w:r w:rsidR="00686984" w:rsidRPr="00686984">
        <w:t>or supported by the complete data including trending over the multi-year CBT research period</w:t>
      </w:r>
      <w:r w:rsidR="00686984">
        <w:t>s.</w:t>
      </w:r>
    </w:p>
    <w:p w14:paraId="540AD682" w14:textId="014557B8" w:rsidR="00134242" w:rsidRDefault="00DF4CCC" w:rsidP="0004166E">
      <w:pPr>
        <w:pStyle w:val="BodyText"/>
        <w:numPr>
          <w:ilvl w:val="0"/>
          <w:numId w:val="40"/>
        </w:numPr>
      </w:pPr>
      <w:r>
        <w:t xml:space="preserve">Another issue with </w:t>
      </w:r>
      <w:r w:rsidR="00642FAD">
        <w:t>TRC</w:t>
      </w:r>
      <w:r>
        <w:t xml:space="preserve"> analysis is that the non-LED technologies considered have PPEs that are lower than the minimum requirement set by </w:t>
      </w:r>
      <w:r w:rsidR="00642FAD">
        <w:t xml:space="preserve">2022 </w:t>
      </w:r>
      <w:r>
        <w:t>Title 24 (i.e., 1.7 µmol/J for greenhouses</w:t>
      </w:r>
      <w:r w:rsidR="00134242">
        <w:t xml:space="preserve"> and 1.9 µmol/J for fully enclosed operations</w:t>
      </w:r>
      <w:r>
        <w:t>). It is essential to assign all non-LED technologies a PPE that meets at least the minimum compliance level outlined in Title 24.</w:t>
      </w:r>
    </w:p>
    <w:p w14:paraId="2949AD2B" w14:textId="0C173111" w:rsidR="00DF4CCC" w:rsidRDefault="00642FAD" w:rsidP="0004166E">
      <w:pPr>
        <w:pStyle w:val="BodyText"/>
        <w:numPr>
          <w:ilvl w:val="0"/>
          <w:numId w:val="40"/>
        </w:numPr>
      </w:pPr>
      <w:r w:rsidRPr="00642FAD">
        <w:t xml:space="preserve">Furthermore, there are inaccuracies in the calculation of LED efficacy at 2.2 µmol/J, as TRC included a list of non-DLC fixtures in the analysis that are not valid choices for standard practice. Here are some specific </w:t>
      </w:r>
      <w:r w:rsidR="000121B7">
        <w:t>examples</w:t>
      </w:r>
      <w:r w:rsidR="00DF4CCC">
        <w:t>:</w:t>
      </w:r>
    </w:p>
    <w:p w14:paraId="0DAE1D88" w14:textId="6AC41988" w:rsidR="00642FAD" w:rsidRDefault="00642FAD" w:rsidP="0004166E">
      <w:pPr>
        <w:pStyle w:val="BodyText"/>
        <w:numPr>
          <w:ilvl w:val="0"/>
          <w:numId w:val="41"/>
        </w:numPr>
      </w:pPr>
      <w:r>
        <w:t xml:space="preserve">Some of the LEDs included in the list have lower efficacy than the minimum requirements set by the DLC and </w:t>
      </w:r>
      <w:r w:rsidR="000121B7">
        <w:t xml:space="preserve">2022 </w:t>
      </w:r>
      <w:r>
        <w:t>Title 24, and even lower efficacies than HID lighting. It is not appropriate to include these low-performance fixtures in the standard practice efficacy analysis as they do not meet the necessary standards.</w:t>
      </w:r>
    </w:p>
    <w:p w14:paraId="57BD98CB" w14:textId="77777777" w:rsidR="00642FAD" w:rsidRDefault="00642FAD" w:rsidP="0004166E">
      <w:pPr>
        <w:pStyle w:val="BodyText"/>
        <w:numPr>
          <w:ilvl w:val="0"/>
          <w:numId w:val="41"/>
        </w:numPr>
      </w:pPr>
      <w:r>
        <w:t>Certain LEDs included in the list are older, less efficient versions of products that are already represented in the DLC data, such as the Mars Hydro FC-3000. It is not appropriate to include outdated and less efficient versions of products in the standard practice analysis when the current DLC-certified products are available and adequately represented in the DLC data.</w:t>
      </w:r>
    </w:p>
    <w:p w14:paraId="2E808EE3" w14:textId="77777777" w:rsidR="00642FAD" w:rsidRDefault="00642FAD" w:rsidP="0004166E">
      <w:pPr>
        <w:pStyle w:val="BodyText"/>
        <w:numPr>
          <w:ilvl w:val="0"/>
          <w:numId w:val="41"/>
        </w:numPr>
      </w:pPr>
      <w:r>
        <w:lastRenderedPageBreak/>
        <w:t xml:space="preserve">Some LEDs included in the list, like the </w:t>
      </w:r>
      <w:proofErr w:type="spellStart"/>
      <w:r>
        <w:t>Lumigrow</w:t>
      </w:r>
      <w:proofErr w:type="spellEnd"/>
      <w:r>
        <w:t xml:space="preserve"> Pro 650e LED, are no longer available in the market as they utilize older chips that have been discontinued. It is not appropriate to include fixtures that can no longer be manufactured in the standard practice analysis as they are not representative of the current market offerings.</w:t>
      </w:r>
    </w:p>
    <w:p w14:paraId="6E0AAF99" w14:textId="54915B3C" w:rsidR="00DF4CCC" w:rsidRDefault="00DF4CCC" w:rsidP="000121B7">
      <w:pPr>
        <w:pStyle w:val="BodyText"/>
        <w:ind w:left="720"/>
      </w:pPr>
      <w:r>
        <w:t>These issues compromise the accuracy and reliability of the LED efficacy calculation</w:t>
      </w:r>
      <w:r w:rsidR="00642FAD">
        <w:t xml:space="preserve"> </w:t>
      </w:r>
      <w:r w:rsidR="00686984">
        <w:t xml:space="preserve">proposed </w:t>
      </w:r>
      <w:r w:rsidR="00642FAD">
        <w:t xml:space="preserve">by </w:t>
      </w:r>
      <w:r w:rsidR="00686984">
        <w:t xml:space="preserve">the </w:t>
      </w:r>
      <w:r w:rsidR="00642FAD">
        <w:t>TRC</w:t>
      </w:r>
      <w:r w:rsidR="00686984">
        <w:t xml:space="preserve"> team</w:t>
      </w:r>
      <w:r>
        <w:t xml:space="preserve">. </w:t>
      </w:r>
      <w:r w:rsidR="00642FAD">
        <w:t xml:space="preserve">For these reasons we disagree with inclusion of the non-DLC products in the </w:t>
      </w:r>
      <w:r w:rsidR="00E26413">
        <w:t>LED efficacy analysis</w:t>
      </w:r>
      <w:r>
        <w:t xml:space="preserve">. </w:t>
      </w:r>
    </w:p>
    <w:p w14:paraId="31D7335F" w14:textId="7DACFDE4" w:rsidR="00DF4CCC" w:rsidRPr="00DF4CCC" w:rsidRDefault="00DF4CCC" w:rsidP="0004166E">
      <w:pPr>
        <w:pStyle w:val="BodyText"/>
        <w:numPr>
          <w:ilvl w:val="0"/>
          <w:numId w:val="40"/>
        </w:numPr>
      </w:pPr>
      <w:r w:rsidRPr="00DF4CCC">
        <w:t xml:space="preserve">The study </w:t>
      </w:r>
      <w:proofErr w:type="gramStart"/>
      <w:r w:rsidRPr="00DF4CCC">
        <w:t>made an assumption</w:t>
      </w:r>
      <w:proofErr w:type="gramEnd"/>
      <w:r w:rsidRPr="00DF4CCC">
        <w:t xml:space="preserve"> that different standard practice technologies are used based on the grow stage. However, this assumption is not suitable when considering LED lighting systems. Unlike HIDs, which traditionally use </w:t>
      </w:r>
      <w:r w:rsidR="00FB5A7A">
        <w:t>MH</w:t>
      </w:r>
      <w:r w:rsidRPr="00DF4CCC">
        <w:t xml:space="preserve"> lighting for initial growth phases and HPS lighting for more mature plants, LEDs are adjustable and can provide optimum light in various spectrum ranges for different stages of growth. This means that growers can use LED lighting systems throughout the plant's growth cycle, eliminating the need for multiple systems.</w:t>
      </w:r>
      <w:r>
        <w:t xml:space="preserve"> </w:t>
      </w:r>
      <w:r w:rsidRPr="00DF4CCC">
        <w:t xml:space="preserve">Additionally, the assumption of multiple systems for different grow stages is inappropriate because most non-LED technologies </w:t>
      </w:r>
      <w:r w:rsidR="00FB5A7A">
        <w:t>included in TRC analysis</w:t>
      </w:r>
      <w:r w:rsidR="00686984">
        <w:t xml:space="preserve"> </w:t>
      </w:r>
      <w:r w:rsidRPr="00DF4CCC">
        <w:t xml:space="preserve">are not allowed </w:t>
      </w:r>
      <w:r w:rsidR="00686984">
        <w:t>by</w:t>
      </w:r>
      <w:r w:rsidRPr="00DF4CCC">
        <w:t xml:space="preserve"> the 2022 Title 24 requirements, which mandate </w:t>
      </w:r>
      <w:r w:rsidR="00686984">
        <w:t>the same</w:t>
      </w:r>
      <w:r w:rsidRPr="00DF4CCC">
        <w:t xml:space="preserve"> efficacy values for </w:t>
      </w:r>
      <w:r w:rsidR="00FB5A7A">
        <w:t xml:space="preserve">all </w:t>
      </w:r>
      <w:r w:rsidRPr="00DF4CCC">
        <w:t xml:space="preserve">grow </w:t>
      </w:r>
      <w:r w:rsidR="00686984">
        <w:t>areas</w:t>
      </w:r>
      <w:r w:rsidRPr="00DF4CCC">
        <w:t>. Therefore, we find this conclusion to be invalid</w:t>
      </w:r>
      <w:r>
        <w:t>.</w:t>
      </w:r>
    </w:p>
    <w:p w14:paraId="00B0C0FB" w14:textId="0301CCEE" w:rsidR="009976A3" w:rsidRDefault="000D5F93" w:rsidP="001B4ADD">
      <w:pPr>
        <w:pStyle w:val="BodyText"/>
        <w:numPr>
          <w:ilvl w:val="0"/>
          <w:numId w:val="40"/>
        </w:numPr>
      </w:pPr>
      <w:r w:rsidRPr="000D5F93">
        <w:t xml:space="preserve">The study does not discuss or evaluate annual incremental efficacy improvements, which is a requirement for </w:t>
      </w:r>
      <w:r w:rsidR="00A937D0">
        <w:t>AR</w:t>
      </w:r>
      <w:r w:rsidRPr="000D5F93">
        <w:t xml:space="preserve"> projects according to CPUC policy. This issue has been extensively discussed in lighting early opinions and statewide lighting working groups with PG&amp;E and other stakeholders</w:t>
      </w:r>
      <w:r w:rsidR="00243734">
        <w:t>.</w:t>
      </w:r>
    </w:p>
    <w:p w14:paraId="6BF5FF96" w14:textId="0462D2EC" w:rsidR="00686984" w:rsidRDefault="00686984" w:rsidP="001B4ADD">
      <w:pPr>
        <w:pStyle w:val="BodyText"/>
        <w:numPr>
          <w:ilvl w:val="0"/>
          <w:numId w:val="40"/>
        </w:numPr>
      </w:pPr>
      <w:r w:rsidRPr="00686984">
        <w:t>The study did not address the distinction between the standard practice efficacy that should be established based on future installations compared to in-situ or cumulative adoption indicated by saturation rates of previously installed technology</w:t>
      </w:r>
      <w:r w:rsidR="00ED6757">
        <w:t xml:space="preserve"> by performing a trend analysis on CBT </w:t>
      </w:r>
      <w:r w:rsidR="007758F0">
        <w:t>data.</w:t>
      </w:r>
      <w:r w:rsidR="00FB5A7A">
        <w:t xml:space="preserve"> The study conclusions are based on a snapshot of the CBT data in 2022 and does not include a trend analysis to estimate future LED installations. This lack of trend analysis is also valid for the 100% LED assumption made for the stacked operation.</w:t>
      </w:r>
    </w:p>
    <w:p w14:paraId="77FD9448" w14:textId="77777777" w:rsidR="00ED6757" w:rsidRDefault="00ED6757" w:rsidP="00ED6757">
      <w:pPr>
        <w:pStyle w:val="BodyText"/>
        <w:ind w:left="720"/>
      </w:pPr>
    </w:p>
    <w:p w14:paraId="649EA936" w14:textId="1907C12C" w:rsidR="00CC3236" w:rsidRDefault="00CC3236" w:rsidP="00CC3236">
      <w:pPr>
        <w:pStyle w:val="Heading1"/>
      </w:pPr>
      <w:r>
        <w:t>List of Attachements</w:t>
      </w:r>
    </w:p>
    <w:p w14:paraId="50EB0EAB" w14:textId="77777777" w:rsidR="00CC3236" w:rsidRDefault="00CC3236" w:rsidP="00CC3236">
      <w:pPr>
        <w:pStyle w:val="BodyText"/>
      </w:pPr>
    </w:p>
    <w:p w14:paraId="5C3D39A6" w14:textId="6F403444" w:rsidR="00CC3236" w:rsidRDefault="00174CB9" w:rsidP="00ED6757">
      <w:pPr>
        <w:pStyle w:val="BodyText"/>
        <w:numPr>
          <w:ilvl w:val="0"/>
          <w:numId w:val="43"/>
        </w:numPr>
      </w:pPr>
      <w:r>
        <w:object w:dxaOrig="1508" w:dyaOrig="984" w14:anchorId="0D220AD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75.5pt;height:49pt" o:ole="">
            <v:imagedata r:id="rId13" o:title=""/>
          </v:shape>
          <o:OLEObject Type="Embed" ProgID="Excel.Sheet.12" ShapeID="_x0000_i1029" DrawAspect="Icon" ObjectID="_1750835308" r:id="rId14"/>
        </w:object>
      </w:r>
    </w:p>
    <w:p w14:paraId="67FC6EFC" w14:textId="01489666" w:rsidR="00ED6757" w:rsidRDefault="00ED6757" w:rsidP="00ED6757">
      <w:pPr>
        <w:pStyle w:val="BodyText"/>
        <w:numPr>
          <w:ilvl w:val="0"/>
          <w:numId w:val="43"/>
        </w:numPr>
      </w:pPr>
      <w:r>
        <w:t>Willdan proposal</w:t>
      </w:r>
    </w:p>
    <w:bookmarkStart w:id="3" w:name="_MON_1750835067"/>
    <w:bookmarkEnd w:id="3"/>
    <w:p w14:paraId="3745B18E" w14:textId="2D79E32B" w:rsidR="00174CB9" w:rsidRDefault="00174CB9" w:rsidP="00174CB9">
      <w:pPr>
        <w:pStyle w:val="BodyText"/>
        <w:ind w:left="1440"/>
      </w:pPr>
      <w:r>
        <w:object w:dxaOrig="1508" w:dyaOrig="984" w14:anchorId="6A0A7912">
          <v:shape id="_x0000_i1030" type="#_x0000_t75" style="width:75.5pt;height:49pt" o:ole="">
            <v:imagedata r:id="rId15" o:title=""/>
          </v:shape>
          <o:OLEObject Type="Embed" ProgID="Word.Document.12" ShapeID="_x0000_i1030" DrawAspect="Icon" ObjectID="_1750835309" r:id="rId16">
            <o:FieldCodes>\s</o:FieldCodes>
          </o:OLEObject>
        </w:object>
      </w:r>
      <w:r>
        <w:tab/>
      </w:r>
      <w:r>
        <w:object w:dxaOrig="1508" w:dyaOrig="984" w14:anchorId="6A3C42BA">
          <v:shape id="_x0000_i1035" type="#_x0000_t75" style="width:75.5pt;height:49pt" o:ole="">
            <v:imagedata r:id="rId17" o:title=""/>
          </v:shape>
          <o:OLEObject Type="Embed" ProgID="Excel.Sheet.12" ShapeID="_x0000_i1035" DrawAspect="Icon" ObjectID="_1750835310" r:id="rId18"/>
        </w:object>
      </w:r>
      <w:r>
        <w:tab/>
      </w:r>
      <w:r>
        <w:object w:dxaOrig="1508" w:dyaOrig="984" w14:anchorId="62D5C5B4">
          <v:shape id="_x0000_i1037" type="#_x0000_t75" style="width:75.5pt;height:49pt" o:ole="">
            <v:imagedata r:id="rId19" o:title=""/>
          </v:shape>
          <o:OLEObject Type="Embed" ProgID="Excel.Sheet.12" ShapeID="_x0000_i1037" DrawAspect="Icon" ObjectID="_1750835311" r:id="rId20"/>
        </w:object>
      </w:r>
      <w:r>
        <w:tab/>
      </w:r>
      <w:r>
        <w:object w:dxaOrig="1508" w:dyaOrig="984" w14:anchorId="14DED12E">
          <v:shape id="_x0000_i1039" type="#_x0000_t75" style="width:75.5pt;height:49pt" o:ole="">
            <v:imagedata r:id="rId21" o:title=""/>
          </v:shape>
          <o:OLEObject Type="Embed" ProgID="Excel.Sheet.12" ShapeID="_x0000_i1039" DrawAspect="Icon" ObjectID="_1750835312" r:id="rId22"/>
        </w:object>
      </w:r>
    </w:p>
    <w:p w14:paraId="767BB816" w14:textId="77777777" w:rsidR="00ED6757" w:rsidRDefault="00ED6757" w:rsidP="00ED6757">
      <w:pPr>
        <w:pStyle w:val="BodyText"/>
        <w:numPr>
          <w:ilvl w:val="0"/>
          <w:numId w:val="43"/>
        </w:numPr>
      </w:pPr>
      <w:r>
        <w:t>TRC proposal</w:t>
      </w:r>
    </w:p>
    <w:bookmarkStart w:id="4" w:name="_MON_1750835250"/>
    <w:bookmarkEnd w:id="4"/>
    <w:p w14:paraId="47BB4CD7" w14:textId="4AA9B52E" w:rsidR="00ED6757" w:rsidRDefault="00174CB9" w:rsidP="00174CB9">
      <w:pPr>
        <w:pStyle w:val="BodyText"/>
        <w:ind w:left="1440"/>
      </w:pPr>
      <w:r>
        <w:object w:dxaOrig="1508" w:dyaOrig="984" w14:anchorId="1A3330C5">
          <v:shape id="_x0000_i1044" type="#_x0000_t75" style="width:75.5pt;height:49pt" o:ole="">
            <v:imagedata r:id="rId23" o:title=""/>
          </v:shape>
          <o:OLEObject Type="Embed" ProgID="Word.Document.12" ShapeID="_x0000_i1044" DrawAspect="Icon" ObjectID="_1750835313" r:id="rId24">
            <o:FieldCodes>\s</o:FieldCodes>
          </o:OLEObject>
        </w:object>
      </w:r>
      <w:r>
        <w:tab/>
      </w:r>
      <w:r>
        <w:object w:dxaOrig="1508" w:dyaOrig="984" w14:anchorId="6B988458">
          <v:shape id="_x0000_i1046" type="#_x0000_t75" style="width:75.5pt;height:49pt" o:ole="">
            <v:imagedata r:id="rId25" o:title=""/>
          </v:shape>
          <o:OLEObject Type="Embed" ProgID="Excel.Sheet.12" ShapeID="_x0000_i1046" DrawAspect="Icon" ObjectID="_1750835314" r:id="rId26"/>
        </w:object>
      </w:r>
    </w:p>
    <w:sectPr w:rsidR="00ED6757" w:rsidSect="00B93715">
      <w:headerReference w:type="even" r:id="rId27"/>
      <w:headerReference w:type="default" r:id="rId28"/>
      <w:footerReference w:type="even" r:id="rId29"/>
      <w:footerReference w:type="default" r:id="rId30"/>
      <w:headerReference w:type="first" r:id="rId31"/>
      <w:footerReference w:type="first" r:id="rId32"/>
      <w:pgSz w:w="11907" w:h="16839"/>
      <w:pgMar w:top="1757" w:right="1134" w:bottom="1361" w:left="1191" w:header="774" w:footer="567" w:gutter="0"/>
      <w:cols w:space="708"/>
      <w:titlePg/>
      <w:docGrid w:linePitch="360"/>
    </w:sectPr>
  </w:body>
</w:document>
</file>

<file path=word/customizations.xml><?xml version="1.0" encoding="utf-8"?>
<wne:tcg xmlns:r="http://schemas.openxmlformats.org/officeDocument/2006/relationships" xmlns:wne="http://schemas.microsoft.com/office/word/2006/wordml">
  <wne:keymaps>
    <wne:keymap wne:kcmPrimary="0231">
      <wne:acd wne:acdName="acd2"/>
    </wne:keymap>
    <wne:keymap wne:kcmPrimary="0232">
      <wne:acd wne:acdName="acd3"/>
    </wne:keymap>
    <wne:keymap wne:kcmPrimary="0233">
      <wne:acd wne:acdName="acd4"/>
    </wne:keymap>
    <wne:keymap wne:kcmPrimary="0234">
      <wne:acd wne:acdName="acd5"/>
    </wne:keymap>
    <wne:keymap wne:kcmPrimary="0235">
      <wne:acd wne:acdName="acd6"/>
    </wne:keymap>
    <wne:keymap wne:kcmPrimary="0236">
      <wne:acd wne:acdName="acd7"/>
    </wne:keymap>
    <wne:keymap wne:kcmPrimary="0237">
      <wne:acd wne:acdName="acd8"/>
    </wne:keymap>
    <wne:keymap wne:kcmPrimary="0238">
      <wne:acd wne:acdName="acd9"/>
    </wne:keymap>
    <wne:keymap wne:kcmPrimary="0239">
      <wne:acd wne:acdName="acd10"/>
    </wne:keymap>
    <wne:keymap wne:kcmPrimary="0342">
      <wne:acd wne:acdName="acd1"/>
    </wne:keymap>
    <wne:keymap wne:kcmPrimary="034E">
      <wne:acd wne:acdName="acd0"/>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Manifest>
  </wne:toolbars>
  <wne:acds>
    <wne:acd wne:argValue="AQAAAAAA" wne:acdName="acd0" wne:fciIndexBasedOn="0065"/>
    <wne:acd wne:argValue="AQAAAEIA" wne:acdName="acd1" wne:fciIndexBasedOn="0065"/>
    <wne:acd wne:argValue="AQAAAAEA" wne:acdName="acd2" wne:fciIndexBasedOn="0065"/>
    <wne:acd wne:argValue="AQAAAAIA" wne:acdName="acd3" wne:fciIndexBasedOn="0065"/>
    <wne:acd wne:argValue="AQAAAAMA" wne:acdName="acd4" wne:fciIndexBasedOn="0065"/>
    <wne:acd wne:argValue="AQAAAAQA" wne:acdName="acd5" wne:fciIndexBasedOn="0065"/>
    <wne:acd wne:argValue="AQAAAAUA" wne:acdName="acd6" wne:fciIndexBasedOn="0065"/>
    <wne:acd wne:argValue="AQAAAAYA" wne:acdName="acd7" wne:fciIndexBasedOn="0065"/>
    <wne:acd wne:argValue="AQAAAAcA" wne:acdName="acd8" wne:fciIndexBasedOn="0065"/>
    <wne:acd wne:argValue="AQAAAAgA" wne:acdName="acd9" wne:fciIndexBasedOn="0065"/>
    <wne:acd wne:argValue="AQAAAAkA" wne:acdName="acd10"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B183BE" w14:textId="77777777" w:rsidR="000C1764" w:rsidRDefault="000C1764">
      <w:r>
        <w:separator/>
      </w:r>
    </w:p>
  </w:endnote>
  <w:endnote w:type="continuationSeparator" w:id="0">
    <w:p w14:paraId="4310410E" w14:textId="77777777" w:rsidR="000C1764" w:rsidRDefault="000C17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Roboto">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343C27" w14:textId="77777777" w:rsidR="00174CB9" w:rsidRDefault="00174CB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Layout w:type="fixed"/>
      <w:tblCellMar>
        <w:left w:w="0" w:type="dxa"/>
        <w:right w:w="0" w:type="dxa"/>
      </w:tblCellMar>
      <w:tblLook w:val="04A0" w:firstRow="1" w:lastRow="0" w:firstColumn="1" w:lastColumn="0" w:noHBand="0" w:noVBand="1"/>
    </w:tblPr>
    <w:tblGrid>
      <w:gridCol w:w="6310"/>
      <w:gridCol w:w="227"/>
      <w:gridCol w:w="3045"/>
    </w:tblGrid>
    <w:tr w:rsidR="00481A95" w14:paraId="7046268C" w14:textId="77777777" w:rsidTr="00972E6F">
      <w:tc>
        <w:tcPr>
          <w:tcW w:w="6311" w:type="dxa"/>
          <w:tcBorders>
            <w:top w:val="single" w:sz="2" w:space="0" w:color="009FDA"/>
          </w:tcBorders>
          <w:shd w:val="clear" w:color="auto" w:fill="auto"/>
          <w:vAlign w:val="bottom"/>
        </w:tcPr>
        <w:p w14:paraId="5F37823E" w14:textId="77777777" w:rsidR="007376B6" w:rsidRPr="003F3A84" w:rsidRDefault="007376B6" w:rsidP="00972E6F">
          <w:pPr>
            <w:pStyle w:val="Footer"/>
          </w:pPr>
        </w:p>
      </w:tc>
      <w:tc>
        <w:tcPr>
          <w:tcW w:w="227" w:type="dxa"/>
          <w:tcBorders>
            <w:top w:val="single" w:sz="2" w:space="0" w:color="009FDA"/>
          </w:tcBorders>
          <w:shd w:val="clear" w:color="auto" w:fill="auto"/>
        </w:tcPr>
        <w:p w14:paraId="6F8C6421" w14:textId="77777777" w:rsidR="007376B6" w:rsidRPr="003F3A84" w:rsidRDefault="007376B6" w:rsidP="00972E6F">
          <w:pPr>
            <w:pStyle w:val="Footer"/>
          </w:pPr>
        </w:p>
      </w:tc>
      <w:tc>
        <w:tcPr>
          <w:tcW w:w="3045" w:type="dxa"/>
          <w:tcBorders>
            <w:top w:val="single" w:sz="2" w:space="0" w:color="009FDA"/>
          </w:tcBorders>
          <w:shd w:val="clear" w:color="auto" w:fill="auto"/>
          <w:vAlign w:val="bottom"/>
        </w:tcPr>
        <w:p w14:paraId="77EA3D7F" w14:textId="05229DF0" w:rsidR="007376B6" w:rsidRPr="003F3A84" w:rsidRDefault="00A077EA" w:rsidP="00972E6F">
          <w:pPr>
            <w:pStyle w:val="Footer"/>
            <w:jc w:val="right"/>
          </w:pPr>
          <w:r w:rsidRPr="003F3A84">
            <w:fldChar w:fldCharType="begin"/>
          </w:r>
          <w:r w:rsidRPr="003F3A84">
            <w:instrText xml:space="preserve"> FILENAME </w:instrText>
          </w:r>
          <w:r w:rsidRPr="003F3A84">
            <w:fldChar w:fldCharType="separate"/>
          </w:r>
          <w:r w:rsidR="00174CB9">
            <w:t>CannabisLightin_StandardPractice_CPUC_FinalReviewMemo_20230620</w:t>
          </w:r>
          <w:r w:rsidRPr="003F3A84">
            <w:fldChar w:fldCharType="end"/>
          </w:r>
        </w:p>
      </w:tc>
    </w:tr>
  </w:tbl>
  <w:p w14:paraId="4E41BAFA" w14:textId="77777777" w:rsidR="00866BDC" w:rsidRDefault="00866BDC">
    <w:pPr>
      <w:pStyle w:val="Footer"/>
      <w:rPr>
        <w:sz w:val="2"/>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528DC7" w14:textId="77777777" w:rsidR="007376B6" w:rsidRDefault="00A077EA" w:rsidP="009A1891">
    <w:pPr>
      <w:pStyle w:val="DNVGL-HQDetails"/>
    </w:pPr>
    <w:r w:rsidRPr="00EA4F5E">
      <w:t>DNV Headquarters, Veritasveien 1, P.O.Box 300, 1322 Høvik, Norway. Tel: +47 67 57 99 00. www.dnv.com</w:t>
    </w:r>
  </w:p>
  <w:tbl>
    <w:tblPr>
      <w:tblW w:w="5000" w:type="pct"/>
      <w:tblLayout w:type="fixed"/>
      <w:tblCellMar>
        <w:left w:w="0" w:type="dxa"/>
        <w:right w:w="0" w:type="dxa"/>
      </w:tblCellMar>
      <w:tblLook w:val="04A0" w:firstRow="1" w:lastRow="0" w:firstColumn="1" w:lastColumn="0" w:noHBand="0" w:noVBand="1"/>
    </w:tblPr>
    <w:tblGrid>
      <w:gridCol w:w="6310"/>
      <w:gridCol w:w="227"/>
      <w:gridCol w:w="3045"/>
    </w:tblGrid>
    <w:tr w:rsidR="00481A95" w14:paraId="3641BDE9" w14:textId="77777777" w:rsidTr="00972E6F">
      <w:tc>
        <w:tcPr>
          <w:tcW w:w="6311" w:type="dxa"/>
          <w:tcBorders>
            <w:top w:val="single" w:sz="2" w:space="0" w:color="009FDA"/>
          </w:tcBorders>
          <w:shd w:val="clear" w:color="auto" w:fill="auto"/>
          <w:vAlign w:val="bottom"/>
        </w:tcPr>
        <w:p w14:paraId="5E15D0AD" w14:textId="77777777" w:rsidR="007376B6" w:rsidRPr="003F3A84" w:rsidRDefault="00174CB9" w:rsidP="007376B6">
          <w:pPr>
            <w:pStyle w:val="Footer"/>
          </w:pPr>
          <w:sdt>
            <w:sdtPr>
              <w:tag w:val="DgLegalInformation01"/>
              <w:id w:val="590974587"/>
              <w:showingPlcHdr/>
              <w:dataBinding w:xpath="//Tag[@name='DgLegalInformation01']" w:storeItemID="{3029A3B5-D657-4AA5-9E45-B6A04861E290}"/>
              <w:text w:multiLine="1"/>
            </w:sdtPr>
            <w:sdtEndPr/>
            <w:sdtContent>
              <w:r w:rsidR="00A077EA" w:rsidRPr="00AB07EF">
                <w:rPr>
                  <w:rStyle w:val="PlaceholderText"/>
                </w:rPr>
                <w:t>[Legal information]</w:t>
              </w:r>
            </w:sdtContent>
          </w:sdt>
        </w:p>
      </w:tc>
      <w:tc>
        <w:tcPr>
          <w:tcW w:w="227" w:type="dxa"/>
          <w:tcBorders>
            <w:top w:val="single" w:sz="2" w:space="0" w:color="009FDA"/>
          </w:tcBorders>
          <w:shd w:val="clear" w:color="auto" w:fill="auto"/>
        </w:tcPr>
        <w:p w14:paraId="05F35E55" w14:textId="77777777" w:rsidR="007376B6" w:rsidRPr="003F3A84" w:rsidRDefault="007376B6" w:rsidP="00972E6F">
          <w:pPr>
            <w:pStyle w:val="Footer"/>
          </w:pPr>
        </w:p>
      </w:tc>
      <w:tc>
        <w:tcPr>
          <w:tcW w:w="3045" w:type="dxa"/>
          <w:tcBorders>
            <w:top w:val="single" w:sz="2" w:space="0" w:color="009FDA"/>
          </w:tcBorders>
          <w:shd w:val="clear" w:color="auto" w:fill="auto"/>
          <w:vAlign w:val="bottom"/>
        </w:tcPr>
        <w:p w14:paraId="6476A26B" w14:textId="6BF2EBC6" w:rsidR="007376B6" w:rsidRPr="003F3A84" w:rsidRDefault="00A077EA" w:rsidP="00972E6F">
          <w:pPr>
            <w:pStyle w:val="Footer"/>
            <w:jc w:val="right"/>
          </w:pPr>
          <w:r w:rsidRPr="003F3A84">
            <w:fldChar w:fldCharType="begin"/>
          </w:r>
          <w:r w:rsidRPr="003F3A84">
            <w:instrText xml:space="preserve"> FILENAME </w:instrText>
          </w:r>
          <w:r w:rsidRPr="003F3A84">
            <w:fldChar w:fldCharType="separate"/>
          </w:r>
          <w:r w:rsidR="00174CB9">
            <w:t>CannabisLightin_StandardPractice_CPUC_FinalReviewMemo_20230620</w:t>
          </w:r>
          <w:r w:rsidRPr="003F3A84">
            <w:fldChar w:fldCharType="end"/>
          </w:r>
        </w:p>
      </w:tc>
    </w:tr>
  </w:tbl>
  <w:p w14:paraId="131F61B9" w14:textId="77777777" w:rsidR="00866BDC" w:rsidRDefault="00866BDC">
    <w:pPr>
      <w:pStyle w:val="Footer"/>
      <w:rPr>
        <w:sz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96CFA6" w14:textId="77777777" w:rsidR="000C1764" w:rsidRDefault="000C1764">
      <w:r>
        <w:separator/>
      </w:r>
    </w:p>
  </w:footnote>
  <w:footnote w:type="continuationSeparator" w:id="0">
    <w:p w14:paraId="498B5C14" w14:textId="77777777" w:rsidR="000C1764" w:rsidRDefault="000C1764">
      <w:r>
        <w:continuationSeparator/>
      </w:r>
    </w:p>
  </w:footnote>
  <w:footnote w:id="1">
    <w:p w14:paraId="35A49181" w14:textId="0E06EE80" w:rsidR="004C6B21" w:rsidRPr="004C6B21" w:rsidRDefault="004C6B21" w:rsidP="004C6B21">
      <w:pPr>
        <w:pStyle w:val="FootnoteText"/>
      </w:pPr>
      <w:r>
        <w:rPr>
          <w:rStyle w:val="FootnoteReference"/>
        </w:rPr>
        <w:footnoteRef/>
      </w:r>
      <w:r>
        <w:t xml:space="preserve"> </w:t>
      </w:r>
      <w:r w:rsidRPr="004C6B21">
        <w:t>Please refer to the attached Excel file, "CannabisLightin_StandardPractice_FinalApprovedValues</w:t>
      </w:r>
      <w:r w:rsidR="007758F0">
        <w:t>_20230620</w:t>
      </w:r>
      <w:r w:rsidRPr="004C6B21">
        <w:t>.xlsx," for details and referenced sources.</w:t>
      </w:r>
    </w:p>
  </w:footnote>
  <w:footnote w:id="2">
    <w:p w14:paraId="70CFDC4E" w14:textId="26CAB54A" w:rsidR="002B394A" w:rsidRPr="002B394A" w:rsidRDefault="002B394A">
      <w:pPr>
        <w:pStyle w:val="FootnoteText"/>
        <w:rPr>
          <w:lang w:val="en-US"/>
        </w:rPr>
      </w:pPr>
      <w:r>
        <w:rPr>
          <w:rStyle w:val="FootnoteReference"/>
        </w:rPr>
        <w:footnoteRef/>
      </w:r>
      <w:r>
        <w:t xml:space="preserve"> “</w:t>
      </w:r>
      <w:r w:rsidRPr="002B394A">
        <w:t>State of the Cannabis Lighting Market” Cannabis Business Times, November 2019</w:t>
      </w:r>
    </w:p>
  </w:footnote>
  <w:footnote w:id="3">
    <w:p w14:paraId="11E01738" w14:textId="53B55486" w:rsidR="004D4E34" w:rsidRPr="004D4E34" w:rsidRDefault="004D4E34" w:rsidP="004D4E34">
      <w:pPr>
        <w:pStyle w:val="FootnoteText"/>
        <w:ind w:left="0" w:firstLine="0"/>
        <w:rPr>
          <w:lang w:val="en-US"/>
        </w:rPr>
      </w:pPr>
      <w:r>
        <w:rPr>
          <w:rStyle w:val="FootnoteReference"/>
        </w:rPr>
        <w:footnoteRef/>
      </w:r>
      <w:r>
        <w:t xml:space="preserve"> “</w:t>
      </w:r>
      <w:r w:rsidRPr="002B394A">
        <w:t>State of the Cannabis Lighting Market” Cannabis Business Times, November 20</w:t>
      </w:r>
      <w:r>
        <w:t>20</w:t>
      </w:r>
    </w:p>
  </w:footnote>
  <w:footnote w:id="4">
    <w:p w14:paraId="08AEDEF7" w14:textId="70F30354" w:rsidR="004D4E34" w:rsidRPr="004D4E34" w:rsidRDefault="004D4E34" w:rsidP="004D4E34">
      <w:pPr>
        <w:pStyle w:val="FootnoteText"/>
        <w:ind w:left="0" w:firstLine="0"/>
        <w:rPr>
          <w:lang w:val="en-US"/>
        </w:rPr>
      </w:pPr>
      <w:r>
        <w:rPr>
          <w:rStyle w:val="FootnoteReference"/>
        </w:rPr>
        <w:footnoteRef/>
      </w:r>
      <w:r>
        <w:t xml:space="preserve"> “</w:t>
      </w:r>
      <w:r w:rsidRPr="002B394A">
        <w:t>State of the Cannabis Lighting Market” Cannabis Business Times, November 20</w:t>
      </w:r>
      <w:r>
        <w:t>21</w:t>
      </w:r>
    </w:p>
  </w:footnote>
  <w:footnote w:id="5">
    <w:p w14:paraId="11A59C7A" w14:textId="091E9385" w:rsidR="004D4E34" w:rsidRPr="004D4E34" w:rsidRDefault="004D4E34" w:rsidP="004D4E34">
      <w:pPr>
        <w:pStyle w:val="FootnoteText"/>
        <w:ind w:left="0" w:firstLine="0"/>
        <w:rPr>
          <w:lang w:val="en-US"/>
        </w:rPr>
      </w:pPr>
      <w:r>
        <w:rPr>
          <w:rStyle w:val="FootnoteReference"/>
        </w:rPr>
        <w:footnoteRef/>
      </w:r>
      <w:r>
        <w:t xml:space="preserve"> “</w:t>
      </w:r>
      <w:r w:rsidRPr="002B394A">
        <w:t xml:space="preserve">State of the Cannabis Lighting Market” Cannabis Business Times, </w:t>
      </w:r>
      <w:r>
        <w:t>Octo</w:t>
      </w:r>
      <w:r w:rsidRPr="002B394A">
        <w:t>ber 20</w:t>
      </w:r>
      <w:r>
        <w:t>22</w:t>
      </w:r>
    </w:p>
  </w:footnote>
  <w:footnote w:id="6">
    <w:p w14:paraId="154592DD" w14:textId="5B262766" w:rsidR="004D4E34" w:rsidRPr="004D4E34" w:rsidRDefault="004D4E34">
      <w:pPr>
        <w:pStyle w:val="FootnoteText"/>
        <w:rPr>
          <w:lang w:val="en-US"/>
        </w:rPr>
      </w:pPr>
      <w:r>
        <w:rPr>
          <w:rStyle w:val="FootnoteReference"/>
        </w:rPr>
        <w:footnoteRef/>
      </w:r>
      <w:r>
        <w:t xml:space="preserve"> </w:t>
      </w:r>
      <w:r>
        <w:rPr>
          <w:lang w:val="en-US"/>
        </w:rPr>
        <w:t>Resolution E-4939 at 17</w:t>
      </w:r>
    </w:p>
  </w:footnote>
  <w:footnote w:id="7">
    <w:p w14:paraId="24E3DCD9" w14:textId="57047027" w:rsidR="00A713B6" w:rsidRPr="004D4E34" w:rsidRDefault="00A713B6" w:rsidP="00A713B6">
      <w:pPr>
        <w:pStyle w:val="FootnoteText"/>
        <w:rPr>
          <w:lang w:val="en-US"/>
        </w:rPr>
      </w:pPr>
      <w:r>
        <w:rPr>
          <w:rStyle w:val="FootnoteReference"/>
        </w:rPr>
        <w:footnoteRef/>
      </w:r>
      <w:r>
        <w:t xml:space="preserve"> </w:t>
      </w:r>
      <w:r>
        <w:rPr>
          <w:lang w:val="en-US"/>
        </w:rPr>
        <w:t>Resolution E-4939 at 53</w:t>
      </w:r>
    </w:p>
  </w:footnote>
  <w:footnote w:id="8">
    <w:p w14:paraId="76B1FCF6" w14:textId="683CFCEB" w:rsidR="007F3260" w:rsidRPr="007F3260" w:rsidRDefault="007F3260">
      <w:pPr>
        <w:pStyle w:val="FootnoteText"/>
        <w:rPr>
          <w:lang w:val="en-US"/>
        </w:rPr>
      </w:pPr>
      <w:r>
        <w:rPr>
          <w:rStyle w:val="FootnoteReference"/>
        </w:rPr>
        <w:footnoteRef/>
      </w:r>
      <w:r>
        <w:t xml:space="preserve"> </w:t>
      </w:r>
      <w:r w:rsidRPr="007F3260">
        <w:t>D.12-05-015 at 351</w:t>
      </w:r>
      <w:r>
        <w:t xml:space="preserve"> </w:t>
      </w:r>
      <w:r w:rsidRPr="007F3260">
        <w:t>(quoted above)</w:t>
      </w:r>
    </w:p>
  </w:footnote>
  <w:footnote w:id="9">
    <w:p w14:paraId="1CD51322" w14:textId="0457B864" w:rsidR="007F3260" w:rsidRPr="007F3260" w:rsidRDefault="007F3260">
      <w:pPr>
        <w:pStyle w:val="FootnoteText"/>
        <w:rPr>
          <w:lang w:val="en-US"/>
        </w:rPr>
      </w:pPr>
      <w:r>
        <w:rPr>
          <w:rStyle w:val="FootnoteReference"/>
        </w:rPr>
        <w:footnoteRef/>
      </w:r>
      <w:r>
        <w:t xml:space="preserve"> </w:t>
      </w:r>
      <w:r w:rsidRPr="007F3260">
        <w:t>See “Step 2” of Section 3. Selection Process of Attachment A to this Resolution</w:t>
      </w:r>
    </w:p>
  </w:footnote>
  <w:footnote w:id="10">
    <w:p w14:paraId="14D6D10A" w14:textId="3D1EB736" w:rsidR="00A937D0" w:rsidRPr="00A937D0" w:rsidRDefault="00A937D0">
      <w:pPr>
        <w:pStyle w:val="FootnoteText"/>
        <w:rPr>
          <w:lang w:val="en-US"/>
        </w:rPr>
      </w:pPr>
      <w:r>
        <w:rPr>
          <w:rStyle w:val="FootnoteReference"/>
        </w:rPr>
        <w:footnoteRef/>
      </w:r>
      <w:r>
        <w:t xml:space="preserve"> </w:t>
      </w:r>
      <w:r>
        <w:rPr>
          <w:lang w:val="en-US"/>
        </w:rPr>
        <w:t>Resolution E-4939 at 18</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BD943E" w14:textId="77777777" w:rsidR="00174CB9" w:rsidRDefault="00174CB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F18B27" w14:textId="77777777" w:rsidR="007376B6" w:rsidRDefault="00A077EA" w:rsidP="00C91DAC">
    <w:r>
      <w:rPr>
        <w:noProof/>
      </w:rPr>
      <w:drawing>
        <wp:inline distT="0" distB="0" distL="0" distR="0" wp14:anchorId="4ABA0F30" wp14:editId="5EE58000">
          <wp:extent cx="1479600" cy="7308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
                    <a:extLst>
                      <a:ext uri="{28A0092B-C50C-407E-A947-70E740481C1C}">
                        <a14:useLocalDpi xmlns:a14="http://schemas.microsoft.com/office/drawing/2010/main" val="0"/>
                      </a:ext>
                    </a:extLst>
                  </a:blip>
                  <a:stretch>
                    <a:fillRect/>
                  </a:stretch>
                </pic:blipFill>
                <pic:spPr>
                  <a:xfrm>
                    <a:off x="0" y="0"/>
                    <a:ext cx="1479600" cy="730800"/>
                  </a:xfrm>
                  <a:prstGeom prst="rect">
                    <a:avLst/>
                  </a:prstGeom>
                </pic:spPr>
              </pic:pic>
            </a:graphicData>
          </a:graphic>
        </wp:inline>
      </w:drawing>
    </w:r>
  </w:p>
  <w:p w14:paraId="56742BB0" w14:textId="77777777" w:rsidR="007376B6" w:rsidRPr="00227A03" w:rsidRDefault="00A077EA" w:rsidP="00B9448F">
    <w:pPr>
      <w:rPr>
        <w:b/>
        <w:bCs/>
      </w:rPr>
    </w:pPr>
    <w:r w:rsidRPr="00227A03">
      <w:rPr>
        <w:b/>
        <w:bCs/>
      </w:rPr>
      <w:t xml:space="preserve">Page </w:t>
    </w:r>
    <w:r w:rsidRPr="00227A03">
      <w:rPr>
        <w:b/>
        <w:bCs/>
      </w:rPr>
      <w:fldChar w:fldCharType="begin"/>
    </w:r>
    <w:r w:rsidRPr="00227A03">
      <w:rPr>
        <w:b/>
        <w:bCs/>
      </w:rPr>
      <w:instrText xml:space="preserve">PAGE </w:instrText>
    </w:r>
    <w:r w:rsidRPr="00227A03">
      <w:rPr>
        <w:b/>
        <w:bCs/>
      </w:rPr>
      <w:fldChar w:fldCharType="separate"/>
    </w:r>
    <w:r w:rsidRPr="00227A03">
      <w:rPr>
        <w:b/>
        <w:bCs/>
      </w:rPr>
      <w:t>1</w:t>
    </w:r>
    <w:r w:rsidRPr="00227A03">
      <w:rPr>
        <w:b/>
        <w:bCs/>
      </w:rPr>
      <w:fldChar w:fldCharType="end"/>
    </w:r>
    <w:r w:rsidRPr="00227A03">
      <w:rPr>
        <w:b/>
        <w:bCs/>
      </w:rPr>
      <w:t xml:space="preserve"> of </w:t>
    </w:r>
    <w:r w:rsidRPr="00227A03">
      <w:rPr>
        <w:b/>
        <w:bCs/>
      </w:rPr>
      <w:fldChar w:fldCharType="begin"/>
    </w:r>
    <w:r w:rsidRPr="00227A03">
      <w:rPr>
        <w:b/>
        <w:bCs/>
      </w:rPr>
      <w:instrText xml:space="preserve"> NUMPAGES </w:instrText>
    </w:r>
    <w:r w:rsidRPr="00227A03">
      <w:rPr>
        <w:b/>
        <w:bCs/>
      </w:rPr>
      <w:fldChar w:fldCharType="separate"/>
    </w:r>
    <w:r w:rsidRPr="00227A03">
      <w:rPr>
        <w:b/>
        <w:bCs/>
      </w:rPr>
      <w:t>1</w:t>
    </w:r>
    <w:r w:rsidRPr="00227A03">
      <w:rPr>
        <w:b/>
        <w:bCs/>
      </w:rPr>
      <w:fldChar w:fldCharType="end"/>
    </w:r>
  </w:p>
  <w:p w14:paraId="41BCD495" w14:textId="77777777" w:rsidR="00866BDC" w:rsidRDefault="00866BDC">
    <w:pPr>
      <w:pStyle w:val="Header"/>
      <w:rPr>
        <w:sz w:val="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2956DD" w14:textId="77777777" w:rsidR="007376B6" w:rsidRDefault="00A077EA" w:rsidP="00C91DAC">
    <w:r>
      <w:rPr>
        <w:noProof/>
      </w:rPr>
      <w:drawing>
        <wp:inline distT="0" distB="0" distL="0" distR="0" wp14:anchorId="256C587E" wp14:editId="488BA11B">
          <wp:extent cx="1479600" cy="7308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129001" name="Picture 3"/>
                  <pic:cNvPicPr/>
                </pic:nvPicPr>
                <pic:blipFill>
                  <a:blip r:embed="rId1">
                    <a:extLst>
                      <a:ext uri="{28A0092B-C50C-407E-A947-70E740481C1C}">
                        <a14:useLocalDpi xmlns:a14="http://schemas.microsoft.com/office/drawing/2010/main" val="0"/>
                      </a:ext>
                    </a:extLst>
                  </a:blip>
                  <a:stretch>
                    <a:fillRect/>
                  </a:stretch>
                </pic:blipFill>
                <pic:spPr>
                  <a:xfrm>
                    <a:off x="0" y="0"/>
                    <a:ext cx="1479600" cy="730800"/>
                  </a:xfrm>
                  <a:prstGeom prst="rect">
                    <a:avLst/>
                  </a:prstGeom>
                </pic:spPr>
              </pic:pic>
            </a:graphicData>
          </a:graphic>
        </wp:inline>
      </w:drawing>
    </w:r>
  </w:p>
  <w:p w14:paraId="3CF62CAF" w14:textId="77777777" w:rsidR="00866BDC" w:rsidRPr="00866BDC" w:rsidRDefault="00866BDC">
    <w:pPr>
      <w:pStyle w:val="Header"/>
      <w:rPr>
        <w:sz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137E0DA0"/>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69880572"/>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4FC21F14"/>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1440C06"/>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A6020DCC"/>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2AE4BEE0"/>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A065AE6"/>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C1068FFC"/>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D46B32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CE08A39C"/>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21A56FA"/>
    <w:multiLevelType w:val="hybridMultilevel"/>
    <w:tmpl w:val="0A8871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3E47023"/>
    <w:multiLevelType w:val="multilevel"/>
    <w:tmpl w:val="E1EE0F16"/>
    <w:name w:val="DNVGL Headings"/>
    <w:lvl w:ilvl="0">
      <w:start w:val="1"/>
      <w:numFmt w:val="decimal"/>
      <w:pStyle w:val="Heading1"/>
      <w:lvlText w:val="%1"/>
      <w:lvlJc w:val="left"/>
      <w:pPr>
        <w:tabs>
          <w:tab w:val="num" w:pos="454"/>
        </w:tabs>
        <w:ind w:left="454" w:hanging="454"/>
      </w:pPr>
    </w:lvl>
    <w:lvl w:ilvl="1">
      <w:start w:val="1"/>
      <w:numFmt w:val="decimal"/>
      <w:pStyle w:val="Heading2"/>
      <w:lvlText w:val="%1.%2"/>
      <w:lvlJc w:val="left"/>
      <w:pPr>
        <w:tabs>
          <w:tab w:val="num" w:pos="680"/>
        </w:tabs>
        <w:ind w:left="680" w:hanging="680"/>
      </w:pPr>
    </w:lvl>
    <w:lvl w:ilvl="2">
      <w:start w:val="1"/>
      <w:numFmt w:val="decimal"/>
      <w:pStyle w:val="Heading3"/>
      <w:lvlText w:val="%1.%2.%3"/>
      <w:lvlJc w:val="left"/>
      <w:pPr>
        <w:tabs>
          <w:tab w:val="num" w:pos="907"/>
        </w:tabs>
        <w:ind w:left="907" w:hanging="907"/>
      </w:pPr>
    </w:lvl>
    <w:lvl w:ilvl="3">
      <w:start w:val="1"/>
      <w:numFmt w:val="decimal"/>
      <w:pStyle w:val="Heading4"/>
      <w:lvlText w:val="%1.%2.%3.%4"/>
      <w:lvlJc w:val="left"/>
      <w:pPr>
        <w:tabs>
          <w:tab w:val="num" w:pos="1134"/>
        </w:tabs>
        <w:ind w:left="1134" w:hanging="1134"/>
      </w:pPr>
    </w:lvl>
    <w:lvl w:ilvl="4">
      <w:start w:val="1"/>
      <w:numFmt w:val="none"/>
      <w:pStyle w:val="Heading5"/>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2" w15:restartNumberingAfterBreak="0">
    <w:nsid w:val="07D76AC0"/>
    <w:multiLevelType w:val="hybridMultilevel"/>
    <w:tmpl w:val="9AA8B6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0E7837D8"/>
    <w:multiLevelType w:val="hybridMultilevel"/>
    <w:tmpl w:val="26165E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66B3743"/>
    <w:multiLevelType w:val="hybridMultilevel"/>
    <w:tmpl w:val="7BEEF00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F246290"/>
    <w:multiLevelType w:val="multilevel"/>
    <w:tmpl w:val="0414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6" w15:restartNumberingAfterBreak="0">
    <w:nsid w:val="1FC27FB1"/>
    <w:multiLevelType w:val="hybridMultilevel"/>
    <w:tmpl w:val="0F72D3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6E729AA"/>
    <w:multiLevelType w:val="multilevel"/>
    <w:tmpl w:val="6854C28A"/>
    <w:name w:val="DNVGL Appendices"/>
    <w:lvl w:ilvl="0">
      <w:start w:val="1"/>
      <w:numFmt w:val="upperLetter"/>
      <w:pStyle w:val="DNVGL-AppListing"/>
      <w:lvlText w:val="Appendix %1"/>
      <w:lvlJc w:val="left"/>
      <w:pPr>
        <w:ind w:left="1417" w:hanging="1417"/>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28E62716"/>
    <w:multiLevelType w:val="hybridMultilevel"/>
    <w:tmpl w:val="45F63B28"/>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15:restartNumberingAfterBreak="0">
    <w:nsid w:val="2E84298F"/>
    <w:multiLevelType w:val="hybridMultilevel"/>
    <w:tmpl w:val="76DA1C92"/>
    <w:lvl w:ilvl="0" w:tplc="1FB838D4">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F811A24"/>
    <w:multiLevelType w:val="multilevel"/>
    <w:tmpl w:val="0414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2FDA73A9"/>
    <w:multiLevelType w:val="hybridMultilevel"/>
    <w:tmpl w:val="C6CC321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3DA7A1C"/>
    <w:multiLevelType w:val="hybridMultilevel"/>
    <w:tmpl w:val="C6845E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2E762FF"/>
    <w:multiLevelType w:val="hybridMultilevel"/>
    <w:tmpl w:val="514C40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8D42932"/>
    <w:multiLevelType w:val="hybridMultilevel"/>
    <w:tmpl w:val="44E09D5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D5D4048"/>
    <w:multiLevelType w:val="hybridMultilevel"/>
    <w:tmpl w:val="7A0E10C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1A27091"/>
    <w:multiLevelType w:val="multilevel"/>
    <w:tmpl w:val="0414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15:restartNumberingAfterBreak="0">
    <w:nsid w:val="55CE1547"/>
    <w:multiLevelType w:val="hybridMultilevel"/>
    <w:tmpl w:val="607C1154"/>
    <w:lvl w:ilvl="0" w:tplc="23421F6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E204B2A"/>
    <w:multiLevelType w:val="hybridMultilevel"/>
    <w:tmpl w:val="75D292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6C066F4B"/>
    <w:multiLevelType w:val="hybridMultilevel"/>
    <w:tmpl w:val="A12804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6404371"/>
    <w:multiLevelType w:val="hybridMultilevel"/>
    <w:tmpl w:val="1B9A22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70A003A"/>
    <w:multiLevelType w:val="hybridMultilevel"/>
    <w:tmpl w:val="C64CF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9F217BB"/>
    <w:multiLevelType w:val="hybridMultilevel"/>
    <w:tmpl w:val="801294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D4D446C"/>
    <w:multiLevelType w:val="hybridMultilevel"/>
    <w:tmpl w:val="3F4A6B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806042596">
    <w:abstractNumId w:val="11"/>
  </w:num>
  <w:num w:numId="2" w16cid:durableId="1858227683">
    <w:abstractNumId w:val="9"/>
  </w:num>
  <w:num w:numId="3" w16cid:durableId="1838837507">
    <w:abstractNumId w:val="8"/>
  </w:num>
  <w:num w:numId="4" w16cid:durableId="181013001">
    <w:abstractNumId w:val="17"/>
  </w:num>
  <w:num w:numId="5" w16cid:durableId="340742946">
    <w:abstractNumId w:val="7"/>
  </w:num>
  <w:num w:numId="6" w16cid:durableId="289748185">
    <w:abstractNumId w:val="6"/>
  </w:num>
  <w:num w:numId="7" w16cid:durableId="1575042300">
    <w:abstractNumId w:val="5"/>
  </w:num>
  <w:num w:numId="8" w16cid:durableId="1521815230">
    <w:abstractNumId w:val="4"/>
  </w:num>
  <w:num w:numId="9" w16cid:durableId="1828668166">
    <w:abstractNumId w:val="3"/>
  </w:num>
  <w:num w:numId="10" w16cid:durableId="661128828">
    <w:abstractNumId w:val="2"/>
  </w:num>
  <w:num w:numId="11" w16cid:durableId="1100831578">
    <w:abstractNumId w:val="1"/>
  </w:num>
  <w:num w:numId="12" w16cid:durableId="1585841967">
    <w:abstractNumId w:val="0"/>
  </w:num>
  <w:num w:numId="13" w16cid:durableId="1804999787">
    <w:abstractNumId w:val="26"/>
  </w:num>
  <w:num w:numId="14" w16cid:durableId="67189387">
    <w:abstractNumId w:val="20"/>
  </w:num>
  <w:num w:numId="15" w16cid:durableId="1726954105">
    <w:abstractNumId w:val="15"/>
  </w:num>
  <w:num w:numId="16" w16cid:durableId="955677163">
    <w:abstractNumId w:val="11"/>
  </w:num>
  <w:num w:numId="17" w16cid:durableId="579947172">
    <w:abstractNumId w:val="11"/>
  </w:num>
  <w:num w:numId="18" w16cid:durableId="1619990480">
    <w:abstractNumId w:val="3"/>
  </w:num>
  <w:num w:numId="19" w16cid:durableId="2000110508">
    <w:abstractNumId w:val="7"/>
  </w:num>
  <w:num w:numId="20" w16cid:durableId="1841044306">
    <w:abstractNumId w:val="7"/>
  </w:num>
  <w:num w:numId="21" w16cid:durableId="2008631288">
    <w:abstractNumId w:val="30"/>
  </w:num>
  <w:num w:numId="22" w16cid:durableId="2105491029">
    <w:abstractNumId w:val="11"/>
  </w:num>
  <w:num w:numId="23" w16cid:durableId="1917132886">
    <w:abstractNumId w:val="11"/>
  </w:num>
  <w:num w:numId="24" w16cid:durableId="1828548703">
    <w:abstractNumId w:val="33"/>
  </w:num>
  <w:num w:numId="25" w16cid:durableId="857736676">
    <w:abstractNumId w:val="22"/>
  </w:num>
  <w:num w:numId="26" w16cid:durableId="1981691251">
    <w:abstractNumId w:val="19"/>
  </w:num>
  <w:num w:numId="27" w16cid:durableId="1960990118">
    <w:abstractNumId w:val="27"/>
  </w:num>
  <w:num w:numId="28" w16cid:durableId="1709602350">
    <w:abstractNumId w:val="32"/>
  </w:num>
  <w:num w:numId="29" w16cid:durableId="839195977">
    <w:abstractNumId w:val="21"/>
  </w:num>
  <w:num w:numId="30" w16cid:durableId="243491979">
    <w:abstractNumId w:val="29"/>
  </w:num>
  <w:num w:numId="31" w16cid:durableId="1500000881">
    <w:abstractNumId w:val="11"/>
  </w:num>
  <w:num w:numId="32" w16cid:durableId="135608799">
    <w:abstractNumId w:val="11"/>
  </w:num>
  <w:num w:numId="33" w16cid:durableId="504319991">
    <w:abstractNumId w:val="13"/>
  </w:num>
  <w:num w:numId="34" w16cid:durableId="897790231">
    <w:abstractNumId w:val="10"/>
  </w:num>
  <w:num w:numId="35" w16cid:durableId="1441291489">
    <w:abstractNumId w:val="28"/>
  </w:num>
  <w:num w:numId="36" w16cid:durableId="1791512740">
    <w:abstractNumId w:val="31"/>
  </w:num>
  <w:num w:numId="37" w16cid:durableId="832139266">
    <w:abstractNumId w:val="23"/>
  </w:num>
  <w:num w:numId="38" w16cid:durableId="237789970">
    <w:abstractNumId w:val="12"/>
  </w:num>
  <w:num w:numId="39" w16cid:durableId="1469667123">
    <w:abstractNumId w:val="14"/>
  </w:num>
  <w:num w:numId="40" w16cid:durableId="1577671479">
    <w:abstractNumId w:val="16"/>
  </w:num>
  <w:num w:numId="41" w16cid:durableId="1444836317">
    <w:abstractNumId w:val="18"/>
  </w:num>
  <w:num w:numId="42" w16cid:durableId="2016883369">
    <w:abstractNumId w:val="24"/>
  </w:num>
  <w:num w:numId="43" w16cid:durableId="721486676">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characterSpacingControl w:val="doNotCompress"/>
  <w:hdrShapeDefaults>
    <o:shapedefaults v:ext="edit" spidmax="2050"/>
  </w:hdrShapeDefault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0NTI0MDO0NDQxNjMyNzNQ0lEKTi0uzszPAykwqgUAOuO7FSwAAAA="/>
    <w:docVar w:name="DFS_FileId" w:val="COR004.dotx"/>
    <w:docVar w:name="DFS_FormId" w:val="1759"/>
    <w:docVar w:name="DFS_FormNo" w:val="COR 004"/>
    <w:docVar w:name="DFS_FormversionNo" w:val="11"/>
    <w:docVar w:name="DFS_Issue" w:val="2021-03"/>
    <w:docVar w:name="DNVeFormDoc_guid" w:val="e1c975e3ef89451389a200f16e8af6fe"/>
    <w:docVar w:name="eForms Core NewDocument" w:val="2022-04-06T21:32:03Z"/>
    <w:docVar w:name="eForms_xdoc_doc_config" w:val="&lt;?xml version=&quot;1.0&quot; encoding=&quot;UTF-8&quot;?&gt;&lt;DNVeFormsCore version=&quot;1.0&quot;&gt;&lt;doc_config client_app=&quot;&quot;&gt;&lt;setting name=&quot;form_config&quot;&gt;&lt;form form_id=&quot;1759&quot; formversion_no=&quot;11&quot; code=&quot;COR 004&quot; name=&quot;Memo&quot; issue=&quot;2021-03&quot; formgroup_id=&quot;0&quot; distribution_bits=&quot;15&quot; FU=&quot;1&quot; SS=&quot;1&quot; SL=&quot;1&quot; ST=&quot;1&quot; filename=&quot;COR004.dotx&quot; type=&quot;Word&quot; datafolder=&quot;COR 004&quot; form_id_field=&quot;&quot; formflow_filename=&quot;&quot; standalone=&quot;n&quot;&gt;_x000d__x000a_  &lt;menuitems&gt;_x000d__x000a_    &lt;menuitem caption=&quot;Print Preview&quot;&gt;_x000d__x000a_      &lt;click method=&quot;PrintPreview&quot; /&gt;_x000d__x000a_    &lt;/menuitem&gt;_x000d__x000a_    &lt;menuitem caption=&quot;Update all Fields (incl. TOC)&quot;&gt;_x000d__x000a_      &lt;click method=&quot;UpdateAllFields&quot; /&gt;_x000d__x000a_    &lt;/menuitem&gt;_x000d__x000a_    &lt;menuitem caption=&quot;Insert table&quot;&gt;_x000d__x000a_      &lt;click method=&quot;InsertTable&quot; /&gt;_x000d__x000a_    &lt;/menuitem&gt;_x000d__x000a_    &lt;menuitem caption=&quot;Insert table caption&quot;&gt;_x000d__x000a_      &lt;click method=&quot;InsertTableCaption&quot; /&gt;_x000d__x000a_    &lt;/menuitem&gt;_x000d__x000a_    &lt;menuitem caption=&quot;Insert figure caption&quot;&gt;_x000d__x000a_      &lt;click method=&quot;InsertFigureCaption&quot; /&gt;_x000d__x000a_    &lt;/menuitem&gt;_x000d__x000a_    &lt;menuitem caption=&quot;Appendices...&quot;&gt;_x000d__x000a_      &lt;click method=&quot;EditAppendices&quot; /&gt;_x000d__x000a_    &lt;/menuitem&gt;_x000d__x000a_  &lt;/menuitems&gt;_x000d__x000a_&lt;/form&gt;&lt;/setting&gt;&lt;/doc_config&gt;&lt;/DNVeFormsCore&gt;"/>
    <w:docVar w:name="eFormsBlenderServiceClientId" w:val="eFormsCore:Word"/>
    <w:docVar w:name="eFormsDataStoreItemId" w:val="{3029A3B5-D657-4AA5-9E45-B6A04861E290}"/>
    <w:docVar w:name="eFormsFormConfig" w:val="&lt;form form_id=&quot;1759&quot; formversion_no=&quot;11&quot; code=&quot;COR 004&quot; name=&quot;Memo&quot; issue=&quot;2021-03&quot; formgroup_id=&quot;0&quot; distribution_bits=&quot;15&quot; FU=&quot;1&quot; SS=&quot;1&quot; SL=&quot;1&quot; ST=&quot;1&quot; filename=&quot;COR004.dotx&quot; type=&quot;Word&quot; datafolder=&quot;COR 004&quot; form_id_field=&quot;&quot; formflow_filename=&quot;&quot; standalone=&quot;n&quot;&gt;_x000d__x000a_  &lt;menuitems&gt;_x000d__x000a_    &lt;menuitem caption=&quot;Print Preview&quot;&gt;_x000d__x000a_      &lt;click method=&quot;PrintPreview&quot; /&gt;_x000d__x000a_    &lt;/menuitem&gt;_x000d__x000a_    &lt;menuitem caption=&quot;Update all Fields (incl. TOC)&quot;&gt;_x000d__x000a_      &lt;click method=&quot;UpdateAllFields&quot; /&gt;_x000d__x000a_    &lt;/menuitem&gt;_x000d__x000a_    &lt;menuitem caption=&quot;Insert table&quot;&gt;_x000d__x000a_      &lt;click method=&quot;InsertTable&quot; /&gt;_x000d__x000a_    &lt;/menuitem&gt;_x000d__x000a_    &lt;menuitem caption=&quot;Insert table caption&quot;&gt;_x000d__x000a_      &lt;click method=&quot;InsertTableCaption&quot; /&gt;_x000d__x000a_    &lt;/menuitem&gt;_x000d__x000a_    &lt;menuitem caption=&quot;Insert figure caption&quot;&gt;_x000d__x000a_      &lt;click method=&quot;InsertFigureCaption&quot; /&gt;_x000d__x000a_    &lt;/menuitem&gt;_x000d__x000a_    &lt;menuitem caption=&quot;Appendices...&quot;&gt;_x000d__x000a_      &lt;click method=&quot;EditAppendices&quot; /&gt;_x000d__x000a_    &lt;/menuitem&gt;_x000d__x000a_  &lt;/menuitems&gt;_x000d__x000a_&lt;/form&gt;"/>
    <w:docVar w:name="TB build" w:val="20210215 082047"/>
    <w:docVar w:name="TB build utc" w:val="2021-02-15T07:20:58"/>
    <w:docVar w:name="TB filename" w:val="COR004.dotx"/>
    <w:docVar w:name="TB id" w:val="7323"/>
    <w:docVar w:name="TB name" w:val="COR 004"/>
    <w:docVar w:name="TMPeF_datafolder" w:val="COR 004"/>
    <w:docVar w:name="XCD450QKD" w:val="3c10523ce353460cb5c3f6662d655e64"/>
  </w:docVars>
  <w:rsids>
    <w:rsidRoot w:val="00A077EA"/>
    <w:rsid w:val="000121B7"/>
    <w:rsid w:val="00016B25"/>
    <w:rsid w:val="00017FBF"/>
    <w:rsid w:val="00023864"/>
    <w:rsid w:val="0004166E"/>
    <w:rsid w:val="00047105"/>
    <w:rsid w:val="00050AF8"/>
    <w:rsid w:val="000543D2"/>
    <w:rsid w:val="00071DD9"/>
    <w:rsid w:val="00085521"/>
    <w:rsid w:val="00091825"/>
    <w:rsid w:val="00096DF6"/>
    <w:rsid w:val="000A4D9E"/>
    <w:rsid w:val="000B6FF2"/>
    <w:rsid w:val="000C1764"/>
    <w:rsid w:val="000C24FC"/>
    <w:rsid w:val="000C3CB9"/>
    <w:rsid w:val="000C57DD"/>
    <w:rsid w:val="000C782C"/>
    <w:rsid w:val="000D1AD1"/>
    <w:rsid w:val="000D5F93"/>
    <w:rsid w:val="000D6818"/>
    <w:rsid w:val="000F51F0"/>
    <w:rsid w:val="000F70E0"/>
    <w:rsid w:val="00103E51"/>
    <w:rsid w:val="001229B9"/>
    <w:rsid w:val="00123C34"/>
    <w:rsid w:val="00126795"/>
    <w:rsid w:val="00134242"/>
    <w:rsid w:val="00135921"/>
    <w:rsid w:val="00141392"/>
    <w:rsid w:val="00142561"/>
    <w:rsid w:val="0014593B"/>
    <w:rsid w:val="0014620B"/>
    <w:rsid w:val="0015150B"/>
    <w:rsid w:val="00154D4D"/>
    <w:rsid w:val="00167540"/>
    <w:rsid w:val="00174B7D"/>
    <w:rsid w:val="00174CB9"/>
    <w:rsid w:val="0019151B"/>
    <w:rsid w:val="001A06ED"/>
    <w:rsid w:val="001A093C"/>
    <w:rsid w:val="001A1A3B"/>
    <w:rsid w:val="001A66E7"/>
    <w:rsid w:val="001A728E"/>
    <w:rsid w:val="001A7496"/>
    <w:rsid w:val="001A7C79"/>
    <w:rsid w:val="001B3AD7"/>
    <w:rsid w:val="001F7D3E"/>
    <w:rsid w:val="002000CD"/>
    <w:rsid w:val="00221210"/>
    <w:rsid w:val="00227A03"/>
    <w:rsid w:val="00234FD3"/>
    <w:rsid w:val="00235453"/>
    <w:rsid w:val="00243734"/>
    <w:rsid w:val="00255615"/>
    <w:rsid w:val="0026440F"/>
    <w:rsid w:val="00266953"/>
    <w:rsid w:val="00267CAC"/>
    <w:rsid w:val="00275B08"/>
    <w:rsid w:val="002762BA"/>
    <w:rsid w:val="0028091B"/>
    <w:rsid w:val="00283642"/>
    <w:rsid w:val="002A2521"/>
    <w:rsid w:val="002A37CC"/>
    <w:rsid w:val="002A4F63"/>
    <w:rsid w:val="002B16EF"/>
    <w:rsid w:val="002B2CF4"/>
    <w:rsid w:val="002B394A"/>
    <w:rsid w:val="002C11A7"/>
    <w:rsid w:val="002C1E5C"/>
    <w:rsid w:val="002C251A"/>
    <w:rsid w:val="002D25E6"/>
    <w:rsid w:val="002D3BD7"/>
    <w:rsid w:val="002E3B89"/>
    <w:rsid w:val="002F2AC7"/>
    <w:rsid w:val="003049ED"/>
    <w:rsid w:val="00305576"/>
    <w:rsid w:val="00311DD5"/>
    <w:rsid w:val="00314CEC"/>
    <w:rsid w:val="00320BE5"/>
    <w:rsid w:val="00321108"/>
    <w:rsid w:val="003230B4"/>
    <w:rsid w:val="0033221E"/>
    <w:rsid w:val="00342ACA"/>
    <w:rsid w:val="00351381"/>
    <w:rsid w:val="00355415"/>
    <w:rsid w:val="003621C6"/>
    <w:rsid w:val="003622C0"/>
    <w:rsid w:val="0039144A"/>
    <w:rsid w:val="003945C1"/>
    <w:rsid w:val="003A2133"/>
    <w:rsid w:val="003A5AA0"/>
    <w:rsid w:val="003A6BC2"/>
    <w:rsid w:val="003B064A"/>
    <w:rsid w:val="003B0655"/>
    <w:rsid w:val="003C25A6"/>
    <w:rsid w:val="003C427A"/>
    <w:rsid w:val="003E56A6"/>
    <w:rsid w:val="003E576F"/>
    <w:rsid w:val="003E690B"/>
    <w:rsid w:val="003F3A84"/>
    <w:rsid w:val="0040636E"/>
    <w:rsid w:val="004239AB"/>
    <w:rsid w:val="004311A4"/>
    <w:rsid w:val="00436FA3"/>
    <w:rsid w:val="004412A3"/>
    <w:rsid w:val="00461BE8"/>
    <w:rsid w:val="00462FA8"/>
    <w:rsid w:val="00463A64"/>
    <w:rsid w:val="00470FBC"/>
    <w:rsid w:val="00472CB2"/>
    <w:rsid w:val="00481A95"/>
    <w:rsid w:val="004952E3"/>
    <w:rsid w:val="004974C0"/>
    <w:rsid w:val="004B21F9"/>
    <w:rsid w:val="004B2377"/>
    <w:rsid w:val="004C6B21"/>
    <w:rsid w:val="004D49F4"/>
    <w:rsid w:val="004D4E34"/>
    <w:rsid w:val="004D50FA"/>
    <w:rsid w:val="004D5498"/>
    <w:rsid w:val="004E217D"/>
    <w:rsid w:val="004E2F41"/>
    <w:rsid w:val="004E798E"/>
    <w:rsid w:val="004F3A25"/>
    <w:rsid w:val="00507180"/>
    <w:rsid w:val="00507F79"/>
    <w:rsid w:val="00514C58"/>
    <w:rsid w:val="00525385"/>
    <w:rsid w:val="00540A26"/>
    <w:rsid w:val="0054741F"/>
    <w:rsid w:val="00551C8A"/>
    <w:rsid w:val="00552A15"/>
    <w:rsid w:val="005619B7"/>
    <w:rsid w:val="005738A8"/>
    <w:rsid w:val="005759B1"/>
    <w:rsid w:val="0058541B"/>
    <w:rsid w:val="00586E50"/>
    <w:rsid w:val="00591B3C"/>
    <w:rsid w:val="005C0212"/>
    <w:rsid w:val="005C1BA6"/>
    <w:rsid w:val="005C3F3A"/>
    <w:rsid w:val="005C6CCE"/>
    <w:rsid w:val="005D1508"/>
    <w:rsid w:val="005D24B6"/>
    <w:rsid w:val="005D7F74"/>
    <w:rsid w:val="006078B5"/>
    <w:rsid w:val="00607B7C"/>
    <w:rsid w:val="006304E6"/>
    <w:rsid w:val="00642FAD"/>
    <w:rsid w:val="0066064D"/>
    <w:rsid w:val="00660C27"/>
    <w:rsid w:val="0066601A"/>
    <w:rsid w:val="00666D10"/>
    <w:rsid w:val="006754EE"/>
    <w:rsid w:val="00686984"/>
    <w:rsid w:val="00690D3F"/>
    <w:rsid w:val="00694503"/>
    <w:rsid w:val="006971DC"/>
    <w:rsid w:val="006A68B2"/>
    <w:rsid w:val="006B0FE9"/>
    <w:rsid w:val="006C2D58"/>
    <w:rsid w:val="006C6379"/>
    <w:rsid w:val="006D0D89"/>
    <w:rsid w:val="006E20A1"/>
    <w:rsid w:val="006F37FC"/>
    <w:rsid w:val="006F6385"/>
    <w:rsid w:val="00700224"/>
    <w:rsid w:val="00701A17"/>
    <w:rsid w:val="00707209"/>
    <w:rsid w:val="007105B8"/>
    <w:rsid w:val="00721066"/>
    <w:rsid w:val="00734E56"/>
    <w:rsid w:val="007376B6"/>
    <w:rsid w:val="00741BE5"/>
    <w:rsid w:val="00754532"/>
    <w:rsid w:val="00775879"/>
    <w:rsid w:val="007758F0"/>
    <w:rsid w:val="00780CAF"/>
    <w:rsid w:val="007810D8"/>
    <w:rsid w:val="007824B5"/>
    <w:rsid w:val="00782718"/>
    <w:rsid w:val="00791C2F"/>
    <w:rsid w:val="00796608"/>
    <w:rsid w:val="007A4EA1"/>
    <w:rsid w:val="007A5874"/>
    <w:rsid w:val="007B057E"/>
    <w:rsid w:val="007B25E0"/>
    <w:rsid w:val="007B4A0D"/>
    <w:rsid w:val="007B764C"/>
    <w:rsid w:val="007C52BD"/>
    <w:rsid w:val="007C57AD"/>
    <w:rsid w:val="007C7241"/>
    <w:rsid w:val="007D2AF3"/>
    <w:rsid w:val="007D42D0"/>
    <w:rsid w:val="007E3D9E"/>
    <w:rsid w:val="007F3260"/>
    <w:rsid w:val="00803241"/>
    <w:rsid w:val="00816F93"/>
    <w:rsid w:val="0082051A"/>
    <w:rsid w:val="00821885"/>
    <w:rsid w:val="00832F76"/>
    <w:rsid w:val="00842367"/>
    <w:rsid w:val="008575B3"/>
    <w:rsid w:val="00861E3B"/>
    <w:rsid w:val="00863C6D"/>
    <w:rsid w:val="00864E8F"/>
    <w:rsid w:val="00866BDC"/>
    <w:rsid w:val="00867355"/>
    <w:rsid w:val="00872C5F"/>
    <w:rsid w:val="0088408B"/>
    <w:rsid w:val="008910C5"/>
    <w:rsid w:val="0089238A"/>
    <w:rsid w:val="008945D9"/>
    <w:rsid w:val="0089629D"/>
    <w:rsid w:val="008A3E0E"/>
    <w:rsid w:val="008A65A5"/>
    <w:rsid w:val="008A73F5"/>
    <w:rsid w:val="008C7AAF"/>
    <w:rsid w:val="008D08D2"/>
    <w:rsid w:val="008D27B3"/>
    <w:rsid w:val="008D38D6"/>
    <w:rsid w:val="008E55FD"/>
    <w:rsid w:val="008F43F5"/>
    <w:rsid w:val="008F516A"/>
    <w:rsid w:val="009029FB"/>
    <w:rsid w:val="00902B09"/>
    <w:rsid w:val="00931D91"/>
    <w:rsid w:val="00956AFA"/>
    <w:rsid w:val="00965EFB"/>
    <w:rsid w:val="00972E6F"/>
    <w:rsid w:val="00973DF7"/>
    <w:rsid w:val="00975AA1"/>
    <w:rsid w:val="009831A0"/>
    <w:rsid w:val="00985AF2"/>
    <w:rsid w:val="009976A3"/>
    <w:rsid w:val="009A1891"/>
    <w:rsid w:val="009A2EB7"/>
    <w:rsid w:val="009B071F"/>
    <w:rsid w:val="009B09E1"/>
    <w:rsid w:val="009B7FA6"/>
    <w:rsid w:val="009C4AA9"/>
    <w:rsid w:val="009C4CE6"/>
    <w:rsid w:val="009C557F"/>
    <w:rsid w:val="009D473C"/>
    <w:rsid w:val="009D4FFA"/>
    <w:rsid w:val="009E5CD2"/>
    <w:rsid w:val="009F6009"/>
    <w:rsid w:val="009F6293"/>
    <w:rsid w:val="009F6886"/>
    <w:rsid w:val="00A00FE0"/>
    <w:rsid w:val="00A04571"/>
    <w:rsid w:val="00A077EA"/>
    <w:rsid w:val="00A11DE5"/>
    <w:rsid w:val="00A13505"/>
    <w:rsid w:val="00A15267"/>
    <w:rsid w:val="00A17C19"/>
    <w:rsid w:val="00A237F2"/>
    <w:rsid w:val="00A277A9"/>
    <w:rsid w:val="00A35F9D"/>
    <w:rsid w:val="00A372C7"/>
    <w:rsid w:val="00A60DC7"/>
    <w:rsid w:val="00A61536"/>
    <w:rsid w:val="00A713B6"/>
    <w:rsid w:val="00A7244F"/>
    <w:rsid w:val="00A73172"/>
    <w:rsid w:val="00A8000E"/>
    <w:rsid w:val="00A83FD1"/>
    <w:rsid w:val="00A850C2"/>
    <w:rsid w:val="00A86729"/>
    <w:rsid w:val="00A937D0"/>
    <w:rsid w:val="00A97748"/>
    <w:rsid w:val="00AB07EF"/>
    <w:rsid w:val="00AC18CE"/>
    <w:rsid w:val="00AC21B4"/>
    <w:rsid w:val="00AC4E81"/>
    <w:rsid w:val="00AC6351"/>
    <w:rsid w:val="00AC6F8C"/>
    <w:rsid w:val="00AD33A4"/>
    <w:rsid w:val="00AD3E8C"/>
    <w:rsid w:val="00AE114C"/>
    <w:rsid w:val="00AE3FAF"/>
    <w:rsid w:val="00AE5F68"/>
    <w:rsid w:val="00AF35C2"/>
    <w:rsid w:val="00AF6598"/>
    <w:rsid w:val="00B10080"/>
    <w:rsid w:val="00B1098B"/>
    <w:rsid w:val="00B1581A"/>
    <w:rsid w:val="00B20FE1"/>
    <w:rsid w:val="00B22149"/>
    <w:rsid w:val="00B36B9D"/>
    <w:rsid w:val="00B37610"/>
    <w:rsid w:val="00B4397C"/>
    <w:rsid w:val="00B60EE5"/>
    <w:rsid w:val="00B62CB9"/>
    <w:rsid w:val="00B74F79"/>
    <w:rsid w:val="00B7602B"/>
    <w:rsid w:val="00B82749"/>
    <w:rsid w:val="00B84669"/>
    <w:rsid w:val="00B93715"/>
    <w:rsid w:val="00B9448F"/>
    <w:rsid w:val="00B957B8"/>
    <w:rsid w:val="00B97C07"/>
    <w:rsid w:val="00B97FD6"/>
    <w:rsid w:val="00BA4FA9"/>
    <w:rsid w:val="00BA60A1"/>
    <w:rsid w:val="00BA6326"/>
    <w:rsid w:val="00BB3CF2"/>
    <w:rsid w:val="00BE2FD8"/>
    <w:rsid w:val="00BF15FC"/>
    <w:rsid w:val="00C00B9E"/>
    <w:rsid w:val="00C050D9"/>
    <w:rsid w:val="00C067F8"/>
    <w:rsid w:val="00C171D6"/>
    <w:rsid w:val="00C24E3A"/>
    <w:rsid w:val="00C324E9"/>
    <w:rsid w:val="00C34291"/>
    <w:rsid w:val="00C378CC"/>
    <w:rsid w:val="00C50680"/>
    <w:rsid w:val="00C616B8"/>
    <w:rsid w:val="00C71FAA"/>
    <w:rsid w:val="00C72CCC"/>
    <w:rsid w:val="00C73466"/>
    <w:rsid w:val="00C825E2"/>
    <w:rsid w:val="00C90AD3"/>
    <w:rsid w:val="00C91DAC"/>
    <w:rsid w:val="00C96279"/>
    <w:rsid w:val="00CB085B"/>
    <w:rsid w:val="00CC3236"/>
    <w:rsid w:val="00CD72FC"/>
    <w:rsid w:val="00CE38B7"/>
    <w:rsid w:val="00CE5FB4"/>
    <w:rsid w:val="00CE7747"/>
    <w:rsid w:val="00D02761"/>
    <w:rsid w:val="00D07CF8"/>
    <w:rsid w:val="00D13F3A"/>
    <w:rsid w:val="00D1695E"/>
    <w:rsid w:val="00D25360"/>
    <w:rsid w:val="00D31C9D"/>
    <w:rsid w:val="00D34823"/>
    <w:rsid w:val="00D374F2"/>
    <w:rsid w:val="00D41DBC"/>
    <w:rsid w:val="00D457C8"/>
    <w:rsid w:val="00D503E7"/>
    <w:rsid w:val="00D51751"/>
    <w:rsid w:val="00D65541"/>
    <w:rsid w:val="00D773AE"/>
    <w:rsid w:val="00D90A24"/>
    <w:rsid w:val="00D91A63"/>
    <w:rsid w:val="00D9371A"/>
    <w:rsid w:val="00D9435B"/>
    <w:rsid w:val="00D976D9"/>
    <w:rsid w:val="00DB4A62"/>
    <w:rsid w:val="00DB5008"/>
    <w:rsid w:val="00DC7237"/>
    <w:rsid w:val="00DD0E1D"/>
    <w:rsid w:val="00DE42E8"/>
    <w:rsid w:val="00DE5ED2"/>
    <w:rsid w:val="00DE7EEA"/>
    <w:rsid w:val="00DE7F4D"/>
    <w:rsid w:val="00DF01F0"/>
    <w:rsid w:val="00DF4CCC"/>
    <w:rsid w:val="00DF7ED4"/>
    <w:rsid w:val="00E26413"/>
    <w:rsid w:val="00E274B2"/>
    <w:rsid w:val="00E3136B"/>
    <w:rsid w:val="00E34CF2"/>
    <w:rsid w:val="00E34DD9"/>
    <w:rsid w:val="00E34FB1"/>
    <w:rsid w:val="00E40947"/>
    <w:rsid w:val="00E432BC"/>
    <w:rsid w:val="00E54393"/>
    <w:rsid w:val="00E667F2"/>
    <w:rsid w:val="00E6759D"/>
    <w:rsid w:val="00E75740"/>
    <w:rsid w:val="00E97B19"/>
    <w:rsid w:val="00EA319D"/>
    <w:rsid w:val="00EA3B42"/>
    <w:rsid w:val="00EA4F5E"/>
    <w:rsid w:val="00EA7CAB"/>
    <w:rsid w:val="00EB2213"/>
    <w:rsid w:val="00EB6CFF"/>
    <w:rsid w:val="00EB73D6"/>
    <w:rsid w:val="00ED0062"/>
    <w:rsid w:val="00ED6757"/>
    <w:rsid w:val="00EE1F75"/>
    <w:rsid w:val="00EF14F0"/>
    <w:rsid w:val="00EF5809"/>
    <w:rsid w:val="00F01E1F"/>
    <w:rsid w:val="00F03453"/>
    <w:rsid w:val="00F04125"/>
    <w:rsid w:val="00F04C33"/>
    <w:rsid w:val="00F0770D"/>
    <w:rsid w:val="00F07DF9"/>
    <w:rsid w:val="00F14C57"/>
    <w:rsid w:val="00F15623"/>
    <w:rsid w:val="00F15E3E"/>
    <w:rsid w:val="00F345C1"/>
    <w:rsid w:val="00F35A17"/>
    <w:rsid w:val="00F41D7A"/>
    <w:rsid w:val="00F51A1D"/>
    <w:rsid w:val="00F52BA7"/>
    <w:rsid w:val="00F7113F"/>
    <w:rsid w:val="00F72E5D"/>
    <w:rsid w:val="00F8229A"/>
    <w:rsid w:val="00F8378D"/>
    <w:rsid w:val="00F849A8"/>
    <w:rsid w:val="00F866F2"/>
    <w:rsid w:val="00FA7E65"/>
    <w:rsid w:val="00FB00FF"/>
    <w:rsid w:val="00FB0728"/>
    <w:rsid w:val="00FB1A94"/>
    <w:rsid w:val="00FB2FAA"/>
    <w:rsid w:val="00FB5A7A"/>
    <w:rsid w:val="00FD4009"/>
    <w:rsid w:val="00FD7F99"/>
    <w:rsid w:val="00FE64C9"/>
    <w:rsid w:val="00FF4F97"/>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C525127"/>
  <w15:docId w15:val="{E9FDE232-F3B8-4970-8B86-02BE3CC82F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0" w:defUnhideWhenUsed="0" w:defQFormat="0" w:count="376">
    <w:lsdException w:name="Normal" w:uiPriority="1" w:qFormat="1"/>
    <w:lsdException w:name="heading 1" w:uiPriority="9" w:qFormat="1"/>
    <w:lsdException w:name="heading 2" w:semiHidden="1" w:uiPriority="9" w:qFormat="1"/>
    <w:lsdException w:name="heading 3" w:semiHidden="1" w:uiPriority="9" w:qFormat="1"/>
    <w:lsdException w:name="heading 4" w:semiHidden="1" w:uiPriority="9" w:qFormat="1"/>
    <w:lsdException w:name="heading 5" w:semiHidden="1"/>
    <w:lsdException w:name="heading 6" w:semiHidden="1"/>
    <w:lsdException w:name="heading 7" w:semiHidden="1"/>
    <w:lsdException w:name="heading 8" w:semiHidden="1"/>
    <w:lsdException w:name="heading 9" w:semiHidden="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lsdException w:name="annotation text" w:semiHidden="1" w:unhideWhenUsed="1"/>
    <w:lsdException w:name="header" w:semiHidden="1"/>
    <w:lsdException w:name="footer" w:semiHidden="1"/>
    <w:lsdException w:name="index heading" w:semiHidden="1" w:unhideWhenUsed="1"/>
    <w:lsdException w:name="caption" w:semiHidden="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lsdException w:name="List Number" w:semiHidden="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ook Title" w:unhideWhenUsed="1"/>
    <w:lsdException w:name="Bibliography" w:semiHidden="1" w:unhideWhenUsed="1"/>
    <w:lsdException w:name="TOC Heading" w:semiHidden="1" w:unhideWhenUsed="1"/>
  </w:latentStyles>
  <w:style w:type="paragraph" w:default="1" w:styleId="Normal">
    <w:name w:val="Normal"/>
    <w:uiPriority w:val="1"/>
    <w:qFormat/>
    <w:rsid w:val="00B62CB9"/>
    <w:pPr>
      <w:spacing w:after="0" w:line="240" w:lineRule="auto"/>
    </w:pPr>
    <w:rPr>
      <w:rFonts w:ascii="Arial" w:hAnsi="Arial" w:cs="Arial"/>
      <w:sz w:val="18"/>
      <w:szCs w:val="18"/>
      <w:lang w:val="en-GB"/>
    </w:rPr>
  </w:style>
  <w:style w:type="paragraph" w:styleId="Heading1">
    <w:name w:val="heading 1"/>
    <w:basedOn w:val="Normal"/>
    <w:next w:val="BodyText"/>
    <w:link w:val="Heading1Char"/>
    <w:uiPriority w:val="9"/>
    <w:qFormat/>
    <w:rsid w:val="00866BDC"/>
    <w:pPr>
      <w:keepNext/>
      <w:numPr>
        <w:numId w:val="1"/>
      </w:numPr>
      <w:outlineLvl w:val="0"/>
    </w:pPr>
    <w:rPr>
      <w:b/>
      <w:caps/>
      <w:color w:val="0F204B"/>
      <w:sz w:val="26"/>
    </w:rPr>
  </w:style>
  <w:style w:type="paragraph" w:styleId="Heading2">
    <w:name w:val="heading 2"/>
    <w:basedOn w:val="Normal"/>
    <w:next w:val="BodyText"/>
    <w:link w:val="Heading2Char"/>
    <w:uiPriority w:val="9"/>
    <w:qFormat/>
    <w:rsid w:val="00866BDC"/>
    <w:pPr>
      <w:keepNext/>
      <w:numPr>
        <w:ilvl w:val="1"/>
        <w:numId w:val="1"/>
      </w:numPr>
      <w:spacing w:before="280"/>
      <w:outlineLvl w:val="1"/>
    </w:pPr>
    <w:rPr>
      <w:b/>
      <w:color w:val="0F204B"/>
      <w:sz w:val="26"/>
    </w:rPr>
  </w:style>
  <w:style w:type="paragraph" w:styleId="Heading3">
    <w:name w:val="heading 3"/>
    <w:basedOn w:val="Normal"/>
    <w:next w:val="BodyText"/>
    <w:link w:val="Heading3Char"/>
    <w:uiPriority w:val="9"/>
    <w:qFormat/>
    <w:rsid w:val="00866BDC"/>
    <w:pPr>
      <w:keepNext/>
      <w:numPr>
        <w:ilvl w:val="2"/>
        <w:numId w:val="1"/>
      </w:numPr>
      <w:spacing w:before="120"/>
      <w:outlineLvl w:val="2"/>
    </w:pPr>
    <w:rPr>
      <w:color w:val="0F204B"/>
      <w:sz w:val="26"/>
    </w:rPr>
  </w:style>
  <w:style w:type="paragraph" w:styleId="Heading4">
    <w:name w:val="heading 4"/>
    <w:basedOn w:val="Normal"/>
    <w:next w:val="BodyText"/>
    <w:link w:val="Heading4Char"/>
    <w:uiPriority w:val="9"/>
    <w:qFormat/>
    <w:rsid w:val="00866BDC"/>
    <w:pPr>
      <w:keepNext/>
      <w:numPr>
        <w:ilvl w:val="3"/>
        <w:numId w:val="1"/>
      </w:numPr>
      <w:spacing w:before="120"/>
      <w:outlineLvl w:val="3"/>
    </w:pPr>
    <w:rPr>
      <w:b/>
      <w:color w:val="0F204B"/>
      <w:sz w:val="22"/>
    </w:rPr>
  </w:style>
  <w:style w:type="paragraph" w:styleId="Heading5">
    <w:name w:val="heading 5"/>
    <w:basedOn w:val="Normal"/>
    <w:next w:val="BodyText"/>
    <w:link w:val="Heading5Char"/>
    <w:uiPriority w:val="99"/>
    <w:rsid w:val="00866BDC"/>
    <w:pPr>
      <w:numPr>
        <w:ilvl w:val="4"/>
        <w:numId w:val="1"/>
      </w:numPr>
      <w:spacing w:before="60" w:after="60"/>
      <w:outlineLvl w:val="4"/>
    </w:pPr>
    <w:rPr>
      <w:sz w:val="22"/>
    </w:rPr>
  </w:style>
  <w:style w:type="paragraph" w:styleId="Heading6">
    <w:name w:val="heading 6"/>
    <w:basedOn w:val="Heading1"/>
    <w:next w:val="BodyText"/>
    <w:link w:val="Heading6Char"/>
    <w:uiPriority w:val="99"/>
    <w:rsid w:val="00866BDC"/>
    <w:pPr>
      <w:numPr>
        <w:numId w:val="0"/>
      </w:numPr>
      <w:outlineLvl w:val="5"/>
    </w:pPr>
  </w:style>
  <w:style w:type="paragraph" w:styleId="Heading7">
    <w:name w:val="heading 7"/>
    <w:basedOn w:val="Heading2"/>
    <w:next w:val="BodyText"/>
    <w:link w:val="Heading7Char"/>
    <w:uiPriority w:val="99"/>
    <w:rsid w:val="00866BDC"/>
    <w:pPr>
      <w:numPr>
        <w:ilvl w:val="0"/>
        <w:numId w:val="0"/>
      </w:numPr>
      <w:outlineLvl w:val="6"/>
    </w:pPr>
  </w:style>
  <w:style w:type="paragraph" w:styleId="Heading8">
    <w:name w:val="heading 8"/>
    <w:basedOn w:val="Heading3"/>
    <w:next w:val="BodyText"/>
    <w:link w:val="Heading8Char"/>
    <w:uiPriority w:val="99"/>
    <w:rsid w:val="00866BDC"/>
    <w:pPr>
      <w:numPr>
        <w:ilvl w:val="0"/>
        <w:numId w:val="0"/>
      </w:numPr>
      <w:outlineLvl w:val="7"/>
    </w:pPr>
  </w:style>
  <w:style w:type="paragraph" w:styleId="Heading9">
    <w:name w:val="heading 9"/>
    <w:basedOn w:val="Heading4"/>
    <w:next w:val="BodyText"/>
    <w:link w:val="Heading9Char"/>
    <w:uiPriority w:val="99"/>
    <w:rsid w:val="00866BDC"/>
    <w:pPr>
      <w:numPr>
        <w:ilvl w:val="0"/>
        <w:numId w:val="0"/>
      </w:num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866BDC"/>
    <w:rPr>
      <w:rFonts w:ascii="Arial" w:hAnsi="Arial" w:cs="Arial"/>
      <w:b/>
      <w:caps/>
      <w:color w:val="0F204B"/>
      <w:sz w:val="26"/>
      <w:szCs w:val="18"/>
      <w:lang w:val="en-GB"/>
    </w:rPr>
  </w:style>
  <w:style w:type="character" w:customStyle="1" w:styleId="Heading2Char">
    <w:name w:val="Heading 2 Char"/>
    <w:basedOn w:val="DefaultParagraphFont"/>
    <w:link w:val="Heading2"/>
    <w:uiPriority w:val="99"/>
    <w:rsid w:val="00866BDC"/>
    <w:rPr>
      <w:rFonts w:ascii="Arial" w:hAnsi="Arial" w:cs="Arial"/>
      <w:b/>
      <w:color w:val="0F204B"/>
      <w:sz w:val="26"/>
      <w:szCs w:val="18"/>
      <w:lang w:val="en-GB"/>
    </w:rPr>
  </w:style>
  <w:style w:type="character" w:customStyle="1" w:styleId="Heading3Char">
    <w:name w:val="Heading 3 Char"/>
    <w:basedOn w:val="DefaultParagraphFont"/>
    <w:link w:val="Heading3"/>
    <w:uiPriority w:val="99"/>
    <w:rsid w:val="00866BDC"/>
    <w:rPr>
      <w:rFonts w:ascii="Arial" w:hAnsi="Arial" w:cs="Arial"/>
      <w:color w:val="0F204B"/>
      <w:sz w:val="26"/>
      <w:szCs w:val="18"/>
      <w:lang w:val="en-GB"/>
    </w:rPr>
  </w:style>
  <w:style w:type="character" w:customStyle="1" w:styleId="Heading4Char">
    <w:name w:val="Heading 4 Char"/>
    <w:basedOn w:val="DefaultParagraphFont"/>
    <w:link w:val="Heading4"/>
    <w:uiPriority w:val="99"/>
    <w:rsid w:val="00866BDC"/>
    <w:rPr>
      <w:rFonts w:ascii="Arial" w:hAnsi="Arial" w:cs="Arial"/>
      <w:b/>
      <w:color w:val="0F204B"/>
      <w:szCs w:val="18"/>
      <w:lang w:val="en-GB"/>
    </w:rPr>
  </w:style>
  <w:style w:type="paragraph" w:styleId="BodyText">
    <w:name w:val="Body Text"/>
    <w:basedOn w:val="Normal"/>
    <w:link w:val="BodyTextChar"/>
    <w:qFormat/>
    <w:rsid w:val="00866BDC"/>
    <w:pPr>
      <w:spacing w:before="40" w:after="140" w:line="280" w:lineRule="atLeast"/>
    </w:pPr>
  </w:style>
  <w:style w:type="character" w:customStyle="1" w:styleId="BodyTextChar">
    <w:name w:val="Body Text Char"/>
    <w:basedOn w:val="DefaultParagraphFont"/>
    <w:link w:val="BodyText"/>
    <w:uiPriority w:val="99"/>
    <w:rsid w:val="00866BDC"/>
    <w:rPr>
      <w:rFonts w:ascii="Arial" w:hAnsi="Arial" w:cs="Arial"/>
      <w:sz w:val="18"/>
      <w:szCs w:val="18"/>
      <w:lang w:val="en-GB"/>
    </w:rPr>
  </w:style>
  <w:style w:type="character" w:styleId="PlaceholderText">
    <w:name w:val="Placeholder Text"/>
    <w:basedOn w:val="DefaultParagraphFont"/>
    <w:uiPriority w:val="99"/>
    <w:rsid w:val="00866BDC"/>
    <w:rPr>
      <w:noProof/>
      <w:vanish/>
      <w:color w:val="808080"/>
      <w:lang w:val="en-GB"/>
    </w:rPr>
  </w:style>
  <w:style w:type="character" w:customStyle="1" w:styleId="Heading5Char">
    <w:name w:val="Heading 5 Char"/>
    <w:basedOn w:val="DefaultParagraphFont"/>
    <w:link w:val="Heading5"/>
    <w:uiPriority w:val="99"/>
    <w:rsid w:val="00866BDC"/>
    <w:rPr>
      <w:rFonts w:ascii="Arial" w:hAnsi="Arial" w:cs="Arial"/>
      <w:szCs w:val="18"/>
      <w:lang w:val="en-GB"/>
    </w:rPr>
  </w:style>
  <w:style w:type="character" w:customStyle="1" w:styleId="Heading6Char">
    <w:name w:val="Heading 6 Char"/>
    <w:basedOn w:val="DefaultParagraphFont"/>
    <w:link w:val="Heading6"/>
    <w:uiPriority w:val="99"/>
    <w:rsid w:val="00866BDC"/>
    <w:rPr>
      <w:rFonts w:ascii="Arial" w:hAnsi="Arial" w:cs="Arial"/>
      <w:b/>
      <w:caps/>
      <w:color w:val="0F204B"/>
      <w:sz w:val="26"/>
      <w:szCs w:val="18"/>
      <w:lang w:val="en-GB"/>
    </w:rPr>
  </w:style>
  <w:style w:type="character" w:customStyle="1" w:styleId="Heading7Char">
    <w:name w:val="Heading 7 Char"/>
    <w:basedOn w:val="DefaultParagraphFont"/>
    <w:link w:val="Heading7"/>
    <w:uiPriority w:val="99"/>
    <w:rsid w:val="00866BDC"/>
    <w:rPr>
      <w:rFonts w:ascii="Arial" w:hAnsi="Arial" w:cs="Arial"/>
      <w:b/>
      <w:color w:val="0F204B"/>
      <w:sz w:val="26"/>
      <w:szCs w:val="18"/>
      <w:lang w:val="en-GB"/>
    </w:rPr>
  </w:style>
  <w:style w:type="character" w:customStyle="1" w:styleId="Heading8Char">
    <w:name w:val="Heading 8 Char"/>
    <w:basedOn w:val="DefaultParagraphFont"/>
    <w:link w:val="Heading8"/>
    <w:uiPriority w:val="99"/>
    <w:rsid w:val="00866BDC"/>
    <w:rPr>
      <w:rFonts w:ascii="Arial" w:hAnsi="Arial" w:cs="Arial"/>
      <w:color w:val="0F204B"/>
      <w:sz w:val="26"/>
      <w:szCs w:val="18"/>
      <w:lang w:val="en-GB"/>
    </w:rPr>
  </w:style>
  <w:style w:type="character" w:customStyle="1" w:styleId="Heading9Char">
    <w:name w:val="Heading 9 Char"/>
    <w:basedOn w:val="DefaultParagraphFont"/>
    <w:link w:val="Heading9"/>
    <w:uiPriority w:val="99"/>
    <w:rsid w:val="00866BDC"/>
    <w:rPr>
      <w:rFonts w:ascii="Arial" w:hAnsi="Arial" w:cs="Arial"/>
      <w:b/>
      <w:color w:val="0F204B"/>
      <w:szCs w:val="18"/>
      <w:lang w:val="en-GB"/>
    </w:rPr>
  </w:style>
  <w:style w:type="paragraph" w:styleId="TOC1">
    <w:name w:val="toc 1"/>
    <w:basedOn w:val="Normal"/>
    <w:uiPriority w:val="99"/>
    <w:semiHidden/>
    <w:unhideWhenUsed/>
    <w:rsid w:val="00866BDC"/>
    <w:pPr>
      <w:tabs>
        <w:tab w:val="right" w:leader="dot" w:pos="9581"/>
      </w:tabs>
      <w:spacing w:before="240"/>
      <w:ind w:left="850" w:right="850" w:hanging="850"/>
    </w:pPr>
    <w:rPr>
      <w:caps/>
      <w:noProof/>
    </w:rPr>
  </w:style>
  <w:style w:type="paragraph" w:styleId="TOC2">
    <w:name w:val="toc 2"/>
    <w:basedOn w:val="Normal"/>
    <w:uiPriority w:val="99"/>
    <w:semiHidden/>
    <w:unhideWhenUsed/>
    <w:rsid w:val="00866BDC"/>
    <w:pPr>
      <w:tabs>
        <w:tab w:val="right" w:pos="9581"/>
      </w:tabs>
      <w:spacing w:before="60"/>
      <w:ind w:left="850" w:right="850" w:hanging="850"/>
    </w:pPr>
    <w:rPr>
      <w:noProof/>
    </w:rPr>
  </w:style>
  <w:style w:type="paragraph" w:styleId="TOC3">
    <w:name w:val="toc 3"/>
    <w:basedOn w:val="Normal"/>
    <w:uiPriority w:val="99"/>
    <w:semiHidden/>
    <w:unhideWhenUsed/>
    <w:rsid w:val="00866BDC"/>
    <w:pPr>
      <w:tabs>
        <w:tab w:val="right" w:pos="9581"/>
      </w:tabs>
      <w:ind w:left="1134" w:right="850" w:hanging="1134"/>
    </w:pPr>
    <w:rPr>
      <w:noProof/>
    </w:rPr>
  </w:style>
  <w:style w:type="paragraph" w:styleId="TOC4">
    <w:name w:val="toc 4"/>
    <w:basedOn w:val="Normal"/>
    <w:uiPriority w:val="99"/>
    <w:semiHidden/>
    <w:unhideWhenUsed/>
    <w:rsid w:val="00866BDC"/>
    <w:pPr>
      <w:tabs>
        <w:tab w:val="right" w:pos="9581"/>
      </w:tabs>
      <w:ind w:left="1417" w:right="850" w:hanging="1417"/>
    </w:pPr>
    <w:rPr>
      <w:noProof/>
    </w:rPr>
  </w:style>
  <w:style w:type="paragraph" w:styleId="TOC5">
    <w:name w:val="toc 5"/>
    <w:basedOn w:val="Normal"/>
    <w:uiPriority w:val="99"/>
    <w:semiHidden/>
    <w:unhideWhenUsed/>
    <w:rsid w:val="00866BDC"/>
    <w:pPr>
      <w:tabs>
        <w:tab w:val="right" w:pos="9581"/>
      </w:tabs>
      <w:ind w:left="1417" w:right="850" w:hanging="1417"/>
    </w:pPr>
    <w:rPr>
      <w:noProof/>
    </w:rPr>
  </w:style>
  <w:style w:type="paragraph" w:styleId="TOC6">
    <w:name w:val="toc 6"/>
    <w:basedOn w:val="TOC1"/>
    <w:uiPriority w:val="99"/>
    <w:semiHidden/>
    <w:unhideWhenUsed/>
    <w:rsid w:val="00866BDC"/>
  </w:style>
  <w:style w:type="paragraph" w:styleId="TOC7">
    <w:name w:val="toc 7"/>
    <w:basedOn w:val="TOC2"/>
    <w:uiPriority w:val="99"/>
    <w:semiHidden/>
    <w:unhideWhenUsed/>
    <w:rsid w:val="00866BDC"/>
  </w:style>
  <w:style w:type="paragraph" w:styleId="TOC8">
    <w:name w:val="toc 8"/>
    <w:basedOn w:val="TOC4"/>
    <w:uiPriority w:val="99"/>
    <w:semiHidden/>
    <w:unhideWhenUsed/>
    <w:rsid w:val="00866BDC"/>
  </w:style>
  <w:style w:type="paragraph" w:styleId="Header">
    <w:name w:val="header"/>
    <w:basedOn w:val="Normal"/>
    <w:link w:val="HeaderChar"/>
    <w:uiPriority w:val="99"/>
    <w:rsid w:val="00866BDC"/>
    <w:rPr>
      <w:noProof/>
    </w:rPr>
  </w:style>
  <w:style w:type="character" w:customStyle="1" w:styleId="HeaderChar">
    <w:name w:val="Header Char"/>
    <w:basedOn w:val="DefaultParagraphFont"/>
    <w:link w:val="Header"/>
    <w:uiPriority w:val="99"/>
    <w:rsid w:val="00866BDC"/>
    <w:rPr>
      <w:rFonts w:ascii="Arial" w:hAnsi="Arial" w:cs="Arial"/>
      <w:noProof/>
      <w:sz w:val="18"/>
      <w:szCs w:val="18"/>
      <w:lang w:val="en-GB"/>
    </w:rPr>
  </w:style>
  <w:style w:type="paragraph" w:styleId="Footer">
    <w:name w:val="footer"/>
    <w:basedOn w:val="Normal"/>
    <w:link w:val="FooterChar"/>
    <w:uiPriority w:val="99"/>
    <w:rsid w:val="00866BDC"/>
    <w:pPr>
      <w:spacing w:line="160" w:lineRule="atLeast"/>
    </w:pPr>
    <w:rPr>
      <w:noProof/>
      <w:sz w:val="13"/>
    </w:rPr>
  </w:style>
  <w:style w:type="character" w:customStyle="1" w:styleId="FooterChar">
    <w:name w:val="Footer Char"/>
    <w:basedOn w:val="DefaultParagraphFont"/>
    <w:link w:val="Footer"/>
    <w:uiPriority w:val="99"/>
    <w:rsid w:val="00866BDC"/>
    <w:rPr>
      <w:rFonts w:ascii="Arial" w:hAnsi="Arial" w:cs="Arial"/>
      <w:noProof/>
      <w:sz w:val="13"/>
      <w:szCs w:val="18"/>
      <w:lang w:val="en-GB"/>
    </w:rPr>
  </w:style>
  <w:style w:type="paragraph" w:styleId="Caption">
    <w:name w:val="caption"/>
    <w:basedOn w:val="Normal"/>
    <w:next w:val="BodyText"/>
    <w:uiPriority w:val="99"/>
    <w:rsid w:val="00866BDC"/>
    <w:rPr>
      <w:b/>
    </w:rPr>
  </w:style>
  <w:style w:type="paragraph" w:styleId="ListBullet">
    <w:name w:val="List Bullet"/>
    <w:basedOn w:val="Normal"/>
    <w:uiPriority w:val="99"/>
    <w:rsid w:val="008575B3"/>
    <w:pPr>
      <w:numPr>
        <w:numId w:val="2"/>
      </w:numPr>
      <w:spacing w:after="140" w:line="280" w:lineRule="atLeast"/>
      <w:contextualSpacing/>
    </w:pPr>
  </w:style>
  <w:style w:type="paragraph" w:styleId="ListNumber">
    <w:name w:val="List Number"/>
    <w:basedOn w:val="Normal"/>
    <w:uiPriority w:val="99"/>
    <w:rsid w:val="006F37FC"/>
    <w:pPr>
      <w:numPr>
        <w:numId w:val="3"/>
      </w:numPr>
      <w:spacing w:after="140" w:line="280" w:lineRule="atLeast"/>
      <w:contextualSpacing/>
    </w:pPr>
  </w:style>
  <w:style w:type="paragraph" w:styleId="FootnoteText">
    <w:name w:val="footnote text"/>
    <w:aliases w:val="DFSListFootnote"/>
    <w:basedOn w:val="Normal"/>
    <w:link w:val="FootnoteTextChar"/>
    <w:uiPriority w:val="99"/>
    <w:rsid w:val="00866BDC"/>
    <w:pPr>
      <w:ind w:left="397" w:hanging="397"/>
    </w:pPr>
    <w:rPr>
      <w:sz w:val="13"/>
    </w:rPr>
  </w:style>
  <w:style w:type="character" w:customStyle="1" w:styleId="FootnoteTextChar">
    <w:name w:val="Footnote Text Char"/>
    <w:aliases w:val="DFSListFootnote Char"/>
    <w:basedOn w:val="DefaultParagraphFont"/>
    <w:link w:val="FootnoteText"/>
    <w:uiPriority w:val="99"/>
    <w:rsid w:val="00866BDC"/>
    <w:rPr>
      <w:rFonts w:ascii="Arial" w:hAnsi="Arial" w:cs="Arial"/>
      <w:sz w:val="13"/>
      <w:szCs w:val="18"/>
      <w:lang w:val="en-GB"/>
    </w:rPr>
  </w:style>
  <w:style w:type="character" w:styleId="FootnoteReference">
    <w:name w:val="footnote reference"/>
    <w:basedOn w:val="DefaultParagraphFont"/>
    <w:uiPriority w:val="99"/>
    <w:semiHidden/>
    <w:unhideWhenUsed/>
    <w:rsid w:val="00866BDC"/>
    <w:rPr>
      <w:sz w:val="18"/>
      <w:vertAlign w:val="superscript"/>
    </w:rPr>
  </w:style>
  <w:style w:type="paragraph" w:customStyle="1" w:styleId="DNVGL-Hidden">
    <w:name w:val="DNVGL-Hidden"/>
    <w:basedOn w:val="Normal"/>
    <w:next w:val="BodyText"/>
    <w:link w:val="DNVGL-HiddenChar"/>
    <w:uiPriority w:val="99"/>
    <w:rsid w:val="00866BDC"/>
    <w:rPr>
      <w:noProof/>
      <w:vanish/>
      <w:color w:val="FF0000"/>
    </w:rPr>
  </w:style>
  <w:style w:type="character" w:customStyle="1" w:styleId="DNVGL-HiddenChar">
    <w:name w:val="DNVGL-Hidden Char"/>
    <w:basedOn w:val="DefaultParagraphFont"/>
    <w:link w:val="DNVGL-Hidden"/>
    <w:uiPriority w:val="99"/>
    <w:rsid w:val="00866BDC"/>
    <w:rPr>
      <w:rFonts w:ascii="Arial" w:hAnsi="Arial" w:cs="Arial"/>
      <w:noProof/>
      <w:vanish/>
      <w:color w:val="FF0000"/>
      <w:sz w:val="18"/>
      <w:szCs w:val="18"/>
      <w:lang w:val="en-GB"/>
    </w:rPr>
  </w:style>
  <w:style w:type="paragraph" w:customStyle="1" w:styleId="DNVGL-HQDetails">
    <w:name w:val="DNVGL-HQ Details"/>
    <w:basedOn w:val="Normal"/>
    <w:link w:val="DNVGL-HQDetailsChar"/>
    <w:uiPriority w:val="99"/>
    <w:rsid w:val="00866BDC"/>
    <w:pPr>
      <w:spacing w:after="240" w:line="200" w:lineRule="atLeast"/>
    </w:pPr>
    <w:rPr>
      <w:noProof/>
      <w:color w:val="0F204B"/>
      <w:sz w:val="16"/>
    </w:rPr>
  </w:style>
  <w:style w:type="character" w:customStyle="1" w:styleId="DNVGL-HQDetailsChar">
    <w:name w:val="DNVGL-HQ Details Char"/>
    <w:basedOn w:val="DefaultParagraphFont"/>
    <w:link w:val="DNVGL-HQDetails"/>
    <w:uiPriority w:val="99"/>
    <w:rsid w:val="00866BDC"/>
    <w:rPr>
      <w:rFonts w:ascii="Arial" w:hAnsi="Arial" w:cs="Arial"/>
      <w:noProof/>
      <w:color w:val="0F204B"/>
      <w:sz w:val="16"/>
      <w:szCs w:val="18"/>
      <w:lang w:val="en-GB"/>
    </w:rPr>
  </w:style>
  <w:style w:type="paragraph" w:customStyle="1" w:styleId="DNVGL-Address-receiver">
    <w:name w:val="DNVGL-Address - receiver"/>
    <w:basedOn w:val="Normal"/>
    <w:link w:val="DNVGL-Address-receiverChar"/>
    <w:uiPriority w:val="99"/>
    <w:rsid w:val="00866BDC"/>
    <w:pPr>
      <w:keepLines/>
      <w:spacing w:line="280" w:lineRule="atLeast"/>
    </w:pPr>
    <w:rPr>
      <w:noProof/>
    </w:rPr>
  </w:style>
  <w:style w:type="character" w:customStyle="1" w:styleId="DNVGL-Address-receiverChar">
    <w:name w:val="DNVGL-Address - receiver Char"/>
    <w:basedOn w:val="DefaultParagraphFont"/>
    <w:link w:val="DNVGL-Address-receiver"/>
    <w:uiPriority w:val="99"/>
    <w:rsid w:val="00866BDC"/>
    <w:rPr>
      <w:rFonts w:ascii="Arial" w:hAnsi="Arial" w:cs="Arial"/>
      <w:noProof/>
      <w:sz w:val="18"/>
      <w:szCs w:val="18"/>
      <w:lang w:val="en-GB"/>
    </w:rPr>
  </w:style>
  <w:style w:type="paragraph" w:customStyle="1" w:styleId="DNVGL-Address-sender">
    <w:name w:val="DNVGL-Address - sender"/>
    <w:basedOn w:val="Normal"/>
    <w:link w:val="DNVGL-Address-senderChar"/>
    <w:uiPriority w:val="99"/>
    <w:rsid w:val="00866BDC"/>
    <w:pPr>
      <w:keepLines/>
      <w:spacing w:line="280" w:lineRule="atLeast"/>
    </w:pPr>
    <w:rPr>
      <w:noProof/>
    </w:rPr>
  </w:style>
  <w:style w:type="character" w:customStyle="1" w:styleId="DNVGL-Address-senderChar">
    <w:name w:val="DNVGL-Address - sender Char"/>
    <w:basedOn w:val="DefaultParagraphFont"/>
    <w:link w:val="DNVGL-Address-sender"/>
    <w:uiPriority w:val="99"/>
    <w:rsid w:val="00866BDC"/>
    <w:rPr>
      <w:rFonts w:ascii="Arial" w:hAnsi="Arial" w:cs="Arial"/>
      <w:noProof/>
      <w:sz w:val="18"/>
      <w:szCs w:val="18"/>
      <w:lang w:val="en-GB"/>
    </w:rPr>
  </w:style>
  <w:style w:type="paragraph" w:customStyle="1" w:styleId="DNVGL-Details">
    <w:name w:val="DNVGL-Details"/>
    <w:basedOn w:val="Normal"/>
    <w:link w:val="DNVGL-DetailsChar"/>
    <w:uiPriority w:val="99"/>
    <w:rsid w:val="00221210"/>
    <w:pPr>
      <w:keepLines/>
      <w:spacing w:line="280" w:lineRule="atLeast"/>
    </w:pPr>
  </w:style>
  <w:style w:type="character" w:customStyle="1" w:styleId="DNVGL-DetailsChar">
    <w:name w:val="DNVGL-Details Char"/>
    <w:basedOn w:val="DefaultParagraphFont"/>
    <w:link w:val="DNVGL-Details"/>
    <w:uiPriority w:val="99"/>
    <w:rsid w:val="00221210"/>
    <w:rPr>
      <w:rFonts w:ascii="Arial" w:hAnsi="Arial" w:cs="Arial"/>
      <w:sz w:val="18"/>
      <w:szCs w:val="18"/>
      <w:lang w:val="en-GB"/>
    </w:rPr>
  </w:style>
  <w:style w:type="paragraph" w:customStyle="1" w:styleId="DNVGL-Revisionrow">
    <w:name w:val="DNVGL-Revision row"/>
    <w:basedOn w:val="Normal"/>
    <w:link w:val="DNVGL-RevisionrowChar"/>
    <w:uiPriority w:val="99"/>
    <w:rsid w:val="00866BDC"/>
    <w:pPr>
      <w:keepLines/>
      <w:spacing w:line="280" w:lineRule="atLeast"/>
    </w:pPr>
    <w:rPr>
      <w:sz w:val="14"/>
    </w:rPr>
  </w:style>
  <w:style w:type="character" w:customStyle="1" w:styleId="DNVGL-RevisionrowChar">
    <w:name w:val="DNVGL-Revision row Char"/>
    <w:basedOn w:val="DefaultParagraphFont"/>
    <w:link w:val="DNVGL-Revisionrow"/>
    <w:uiPriority w:val="99"/>
    <w:rsid w:val="00866BDC"/>
    <w:rPr>
      <w:rFonts w:ascii="Arial" w:hAnsi="Arial" w:cs="Arial"/>
      <w:sz w:val="14"/>
      <w:szCs w:val="18"/>
      <w:lang w:val="en-GB"/>
    </w:rPr>
  </w:style>
  <w:style w:type="paragraph" w:customStyle="1" w:styleId="DNVGL-Revisionheadingrow">
    <w:name w:val="DNVGL-Revision heading row"/>
    <w:basedOn w:val="Normal"/>
    <w:link w:val="DNVGL-RevisionheadingrowChar"/>
    <w:uiPriority w:val="99"/>
    <w:rsid w:val="00866BDC"/>
    <w:pPr>
      <w:keepLines/>
    </w:pPr>
    <w:rPr>
      <w:sz w:val="14"/>
    </w:rPr>
  </w:style>
  <w:style w:type="character" w:customStyle="1" w:styleId="DNVGL-RevisionheadingrowChar">
    <w:name w:val="DNVGL-Revision heading row Char"/>
    <w:basedOn w:val="DefaultParagraphFont"/>
    <w:link w:val="DNVGL-Revisionheadingrow"/>
    <w:uiPriority w:val="99"/>
    <w:rsid w:val="00866BDC"/>
    <w:rPr>
      <w:rFonts w:ascii="Arial" w:hAnsi="Arial" w:cs="Arial"/>
      <w:sz w:val="14"/>
      <w:szCs w:val="18"/>
      <w:lang w:val="en-GB"/>
    </w:rPr>
  </w:style>
  <w:style w:type="paragraph" w:customStyle="1" w:styleId="DNVGL-Signature">
    <w:name w:val="DNVGL-Signature"/>
    <w:basedOn w:val="Normal"/>
    <w:link w:val="DNVGL-SignatureChar"/>
    <w:uiPriority w:val="99"/>
    <w:rsid w:val="00866BDC"/>
    <w:pPr>
      <w:keepLines/>
      <w:contextualSpacing/>
    </w:pPr>
    <w:rPr>
      <w:noProof/>
    </w:rPr>
  </w:style>
  <w:style w:type="character" w:customStyle="1" w:styleId="DNVGL-SignatureChar">
    <w:name w:val="DNVGL-Signature Char"/>
    <w:basedOn w:val="DefaultParagraphFont"/>
    <w:link w:val="DNVGL-Signature"/>
    <w:uiPriority w:val="99"/>
    <w:rsid w:val="00866BDC"/>
    <w:rPr>
      <w:rFonts w:ascii="Arial" w:hAnsi="Arial" w:cs="Arial"/>
      <w:noProof/>
      <w:sz w:val="18"/>
      <w:szCs w:val="18"/>
      <w:lang w:val="en-GB"/>
    </w:rPr>
  </w:style>
  <w:style w:type="paragraph" w:customStyle="1" w:styleId="DNVGL-Signaturesmall">
    <w:name w:val="DNVGL-Signature (small)"/>
    <w:basedOn w:val="DNVGL-Signature"/>
    <w:link w:val="DNVGL-SignaturesmallChar"/>
    <w:uiPriority w:val="99"/>
    <w:rsid w:val="00866BDC"/>
    <w:rPr>
      <w:sz w:val="14"/>
    </w:rPr>
  </w:style>
  <w:style w:type="character" w:customStyle="1" w:styleId="DNVGL-SignaturesmallChar">
    <w:name w:val="DNVGL-Signature (small) Char"/>
    <w:basedOn w:val="DefaultParagraphFont"/>
    <w:link w:val="DNVGL-Signaturesmall"/>
    <w:uiPriority w:val="99"/>
    <w:rsid w:val="00866BDC"/>
    <w:rPr>
      <w:rFonts w:ascii="Arial" w:hAnsi="Arial" w:cs="Arial"/>
      <w:noProof/>
      <w:sz w:val="14"/>
      <w:szCs w:val="18"/>
      <w:lang w:val="en-GB"/>
    </w:rPr>
  </w:style>
  <w:style w:type="paragraph" w:customStyle="1" w:styleId="DNVGL-Closing">
    <w:name w:val="DNVGL-Closing"/>
    <w:basedOn w:val="Normal"/>
    <w:next w:val="DNVGL-Signature"/>
    <w:link w:val="DNVGL-ClosingChar"/>
    <w:uiPriority w:val="99"/>
    <w:rsid w:val="00866BDC"/>
    <w:pPr>
      <w:keepNext/>
      <w:keepLines/>
      <w:spacing w:before="480" w:after="720" w:line="280" w:lineRule="atLeast"/>
      <w:contextualSpacing/>
    </w:pPr>
    <w:rPr>
      <w:noProof/>
    </w:rPr>
  </w:style>
  <w:style w:type="character" w:customStyle="1" w:styleId="DNVGL-ClosingChar">
    <w:name w:val="DNVGL-Closing Char"/>
    <w:basedOn w:val="DefaultParagraphFont"/>
    <w:link w:val="DNVGL-Closing"/>
    <w:uiPriority w:val="99"/>
    <w:rsid w:val="00866BDC"/>
    <w:rPr>
      <w:rFonts w:ascii="Arial" w:hAnsi="Arial" w:cs="Arial"/>
      <w:noProof/>
      <w:sz w:val="18"/>
      <w:szCs w:val="18"/>
      <w:lang w:val="en-GB"/>
    </w:rPr>
  </w:style>
  <w:style w:type="paragraph" w:customStyle="1" w:styleId="CMCHeading">
    <w:name w:val="CMCHeading"/>
    <w:basedOn w:val="Normal"/>
    <w:next w:val="Normal"/>
    <w:link w:val="CMCHeadingChar"/>
    <w:uiPriority w:val="99"/>
    <w:rsid w:val="00866BDC"/>
    <w:rPr>
      <w:b/>
      <w:sz w:val="22"/>
    </w:rPr>
  </w:style>
  <w:style w:type="character" w:customStyle="1" w:styleId="CMCHeadingChar">
    <w:name w:val="CMCHeading Char"/>
    <w:basedOn w:val="DefaultParagraphFont"/>
    <w:link w:val="CMCHeading"/>
    <w:uiPriority w:val="99"/>
    <w:rsid w:val="00866BDC"/>
    <w:rPr>
      <w:rFonts w:ascii="Arial" w:hAnsi="Arial" w:cs="Arial"/>
      <w:b/>
      <w:szCs w:val="18"/>
      <w:lang w:val="en-GB"/>
    </w:rPr>
  </w:style>
  <w:style w:type="paragraph" w:customStyle="1" w:styleId="CMCConfidential">
    <w:name w:val="CMCConfidential"/>
    <w:basedOn w:val="Normal"/>
    <w:link w:val="CMCConfidentialChar"/>
    <w:uiPriority w:val="99"/>
    <w:rsid w:val="00866BDC"/>
    <w:rPr>
      <w:color w:val="FF0000"/>
    </w:rPr>
  </w:style>
  <w:style w:type="character" w:customStyle="1" w:styleId="CMCConfidentialChar">
    <w:name w:val="CMCConfidential Char"/>
    <w:basedOn w:val="DefaultParagraphFont"/>
    <w:link w:val="CMCConfidential"/>
    <w:uiPriority w:val="99"/>
    <w:rsid w:val="00866BDC"/>
    <w:rPr>
      <w:rFonts w:ascii="Arial" w:hAnsi="Arial" w:cs="Arial"/>
      <w:color w:val="FF0000"/>
      <w:sz w:val="18"/>
      <w:szCs w:val="18"/>
      <w:lang w:val="en-GB"/>
    </w:rPr>
  </w:style>
  <w:style w:type="paragraph" w:customStyle="1" w:styleId="CMCConfidentialText">
    <w:name w:val="CMCConfidentialText"/>
    <w:basedOn w:val="CMCConfidential"/>
    <w:link w:val="CMCConfidentialTextChar"/>
    <w:uiPriority w:val="99"/>
    <w:rsid w:val="00866BDC"/>
  </w:style>
  <w:style w:type="character" w:customStyle="1" w:styleId="CMCConfidentialTextChar">
    <w:name w:val="CMCConfidentialText Char"/>
    <w:basedOn w:val="DefaultParagraphFont"/>
    <w:link w:val="CMCConfidentialText"/>
    <w:rsid w:val="00866BDC"/>
    <w:rPr>
      <w:rFonts w:ascii="Arial" w:hAnsi="Arial" w:cs="Arial"/>
      <w:color w:val="FF0000"/>
      <w:sz w:val="18"/>
      <w:szCs w:val="18"/>
      <w:lang w:val="en-GB"/>
    </w:rPr>
  </w:style>
  <w:style w:type="paragraph" w:customStyle="1" w:styleId="DNVGL-AppListing">
    <w:name w:val="DNVGL-App Listing"/>
    <w:basedOn w:val="Normal"/>
    <w:link w:val="DNVGL-AppListingChar"/>
    <w:uiPriority w:val="99"/>
    <w:rsid w:val="00866BDC"/>
    <w:pPr>
      <w:keepLines/>
      <w:numPr>
        <w:numId w:val="4"/>
      </w:numPr>
    </w:pPr>
    <w:rPr>
      <w:color w:val="0F204B"/>
    </w:rPr>
  </w:style>
  <w:style w:type="character" w:customStyle="1" w:styleId="DNVGL-AppListingChar">
    <w:name w:val="DNVGL-App Listing Char"/>
    <w:basedOn w:val="DefaultParagraphFont"/>
    <w:link w:val="DNVGL-AppListing"/>
    <w:uiPriority w:val="99"/>
    <w:rsid w:val="00866BDC"/>
    <w:rPr>
      <w:rFonts w:ascii="Arial" w:hAnsi="Arial" w:cs="Arial"/>
      <w:color w:val="0F204B"/>
      <w:sz w:val="18"/>
      <w:szCs w:val="18"/>
      <w:lang w:val="en-GB"/>
    </w:rPr>
  </w:style>
  <w:style w:type="paragraph" w:customStyle="1" w:styleId="DNVGL-AppText">
    <w:name w:val="DNVGL-App Text"/>
    <w:basedOn w:val="Normal"/>
    <w:next w:val="BodyText"/>
    <w:link w:val="DNVGL-AppTextChar"/>
    <w:uiPriority w:val="99"/>
    <w:rsid w:val="00866BDC"/>
    <w:pPr>
      <w:spacing w:after="120"/>
    </w:pPr>
    <w:rPr>
      <w:b/>
      <w:color w:val="0F204B"/>
      <w:sz w:val="26"/>
    </w:rPr>
  </w:style>
  <w:style w:type="character" w:customStyle="1" w:styleId="DNVGL-AppTextChar">
    <w:name w:val="DNVGL-App Text Char"/>
    <w:basedOn w:val="DefaultParagraphFont"/>
    <w:link w:val="DNVGL-AppText"/>
    <w:uiPriority w:val="99"/>
    <w:rsid w:val="00866BDC"/>
    <w:rPr>
      <w:rFonts w:ascii="Arial" w:hAnsi="Arial" w:cs="Arial"/>
      <w:b/>
      <w:color w:val="0F204B"/>
      <w:sz w:val="26"/>
      <w:szCs w:val="18"/>
      <w:lang w:val="en-GB"/>
    </w:rPr>
  </w:style>
  <w:style w:type="paragraph" w:customStyle="1" w:styleId="DNVGL-Appendix">
    <w:name w:val="DNVGL-Appendix"/>
    <w:basedOn w:val="Normal"/>
    <w:next w:val="BodyText"/>
    <w:link w:val="DNVGL-AppendixChar"/>
    <w:uiPriority w:val="99"/>
    <w:rsid w:val="00866BDC"/>
    <w:pPr>
      <w:pBdr>
        <w:bottom w:val="single" w:sz="6" w:space="0" w:color="009FDA"/>
      </w:pBdr>
    </w:pPr>
    <w:rPr>
      <w:b/>
      <w:caps/>
      <w:noProof/>
      <w:color w:val="0F204B"/>
      <w:sz w:val="26"/>
    </w:rPr>
  </w:style>
  <w:style w:type="character" w:customStyle="1" w:styleId="DNVGL-AppendixChar">
    <w:name w:val="DNVGL-Appendix Char"/>
    <w:basedOn w:val="DefaultParagraphFont"/>
    <w:link w:val="DNVGL-Appendix"/>
    <w:uiPriority w:val="99"/>
    <w:rsid w:val="00866BDC"/>
    <w:rPr>
      <w:rFonts w:ascii="Arial" w:hAnsi="Arial" w:cs="Arial"/>
      <w:b/>
      <w:caps/>
      <w:noProof/>
      <w:color w:val="0F204B"/>
      <w:sz w:val="26"/>
      <w:szCs w:val="18"/>
      <w:lang w:val="en-GB"/>
    </w:rPr>
  </w:style>
  <w:style w:type="paragraph" w:customStyle="1" w:styleId="DNVGL-BackcoverTitle">
    <w:name w:val="DNVGL-Backcover Title"/>
    <w:basedOn w:val="Normal"/>
    <w:next w:val="BodyText"/>
    <w:link w:val="DNVGL-BackcoverTitleChar"/>
    <w:uiPriority w:val="99"/>
    <w:rsid w:val="00866BDC"/>
    <w:rPr>
      <w:b/>
      <w:noProof/>
      <w:color w:val="0F204B"/>
      <w:sz w:val="26"/>
    </w:rPr>
  </w:style>
  <w:style w:type="character" w:customStyle="1" w:styleId="DNVGL-BackcoverTitleChar">
    <w:name w:val="DNVGL-Backcover Title Char"/>
    <w:basedOn w:val="DefaultParagraphFont"/>
    <w:link w:val="DNVGL-BackcoverTitle"/>
    <w:uiPriority w:val="99"/>
    <w:rsid w:val="00866BDC"/>
    <w:rPr>
      <w:rFonts w:ascii="Arial" w:hAnsi="Arial" w:cs="Arial"/>
      <w:b/>
      <w:noProof/>
      <w:color w:val="0F204B"/>
      <w:sz w:val="26"/>
      <w:szCs w:val="18"/>
      <w:lang w:val="en-GB"/>
    </w:rPr>
  </w:style>
  <w:style w:type="paragraph" w:customStyle="1" w:styleId="Bodytexthighlight">
    <w:name w:val="Body text highlight"/>
    <w:basedOn w:val="BodyText"/>
    <w:link w:val="BodytexthighlightChar"/>
    <w:uiPriority w:val="99"/>
    <w:rsid w:val="00866BDC"/>
    <w:pPr>
      <w:shd w:val="clear" w:color="auto" w:fill="FFFF99"/>
    </w:pPr>
    <w:rPr>
      <w:color w:val="0F204B"/>
    </w:rPr>
  </w:style>
  <w:style w:type="character" w:customStyle="1" w:styleId="BodytexthighlightChar">
    <w:name w:val="Body text highlight Char"/>
    <w:basedOn w:val="DefaultParagraphFont"/>
    <w:link w:val="Bodytexthighlight"/>
    <w:uiPriority w:val="99"/>
    <w:rsid w:val="00866BDC"/>
    <w:rPr>
      <w:rFonts w:ascii="Arial" w:hAnsi="Arial" w:cs="Arial"/>
      <w:color w:val="0F204B"/>
      <w:sz w:val="18"/>
      <w:szCs w:val="18"/>
      <w:shd w:val="clear" w:color="auto" w:fill="FFFF99"/>
      <w:lang w:val="en-GB"/>
    </w:rPr>
  </w:style>
  <w:style w:type="paragraph" w:customStyle="1" w:styleId="DNVGL-capEquation">
    <w:name w:val="DNVGL-capEquation"/>
    <w:basedOn w:val="Normal"/>
    <w:next w:val="BodyText"/>
    <w:link w:val="DNVGL-capEquationChar"/>
    <w:uiPriority w:val="99"/>
    <w:rsid w:val="00866BDC"/>
    <w:pPr>
      <w:keepLines/>
      <w:spacing w:before="120" w:after="120"/>
      <w:ind w:left="142" w:right="113" w:hanging="142"/>
    </w:pPr>
    <w:rPr>
      <w:b/>
    </w:rPr>
  </w:style>
  <w:style w:type="character" w:customStyle="1" w:styleId="DNVGL-capEquationChar">
    <w:name w:val="DNVGL-capEquation Char"/>
    <w:basedOn w:val="DefaultParagraphFont"/>
    <w:link w:val="DNVGL-capEquation"/>
    <w:uiPriority w:val="99"/>
    <w:rsid w:val="00866BDC"/>
    <w:rPr>
      <w:rFonts w:ascii="Arial" w:hAnsi="Arial" w:cs="Arial"/>
      <w:b/>
      <w:sz w:val="18"/>
      <w:szCs w:val="18"/>
      <w:lang w:val="en-GB"/>
    </w:rPr>
  </w:style>
  <w:style w:type="paragraph" w:customStyle="1" w:styleId="DNVGL-capFigure">
    <w:name w:val="DNVGL-capFigure"/>
    <w:basedOn w:val="Normal"/>
    <w:next w:val="BodyText"/>
    <w:link w:val="DNVGL-capFigureChar"/>
    <w:uiPriority w:val="99"/>
    <w:rsid w:val="00866BDC"/>
    <w:pPr>
      <w:keepNext/>
    </w:pPr>
    <w:rPr>
      <w:b/>
    </w:rPr>
  </w:style>
  <w:style w:type="character" w:customStyle="1" w:styleId="DNVGL-capFigureChar">
    <w:name w:val="DNVGL-capFigure Char"/>
    <w:basedOn w:val="DefaultParagraphFont"/>
    <w:link w:val="DNVGL-capFigure"/>
    <w:uiPriority w:val="99"/>
    <w:rsid w:val="00866BDC"/>
    <w:rPr>
      <w:rFonts w:ascii="Arial" w:hAnsi="Arial" w:cs="Arial"/>
      <w:b/>
      <w:sz w:val="18"/>
      <w:szCs w:val="18"/>
      <w:lang w:val="en-GB"/>
    </w:rPr>
  </w:style>
  <w:style w:type="paragraph" w:customStyle="1" w:styleId="DNVGL-capTable">
    <w:name w:val="DNVGL-capTable"/>
    <w:basedOn w:val="Normal"/>
    <w:next w:val="BodyText"/>
    <w:link w:val="DNVGL-capTableChar"/>
    <w:uiPriority w:val="99"/>
    <w:rsid w:val="00866BDC"/>
    <w:pPr>
      <w:keepNext/>
      <w:spacing w:before="100" w:after="60" w:line="280" w:lineRule="atLeast"/>
    </w:pPr>
    <w:rPr>
      <w:b/>
    </w:rPr>
  </w:style>
  <w:style w:type="character" w:customStyle="1" w:styleId="DNVGL-capTableChar">
    <w:name w:val="DNVGL-capTable Char"/>
    <w:basedOn w:val="DefaultParagraphFont"/>
    <w:link w:val="DNVGL-capTable"/>
    <w:uiPriority w:val="99"/>
    <w:rsid w:val="00866BDC"/>
    <w:rPr>
      <w:rFonts w:ascii="Arial" w:hAnsi="Arial" w:cs="Arial"/>
      <w:b/>
      <w:sz w:val="18"/>
      <w:szCs w:val="18"/>
      <w:lang w:val="en-GB"/>
    </w:rPr>
  </w:style>
  <w:style w:type="paragraph" w:customStyle="1" w:styleId="DNVGL-FigureComment">
    <w:name w:val="DNVGL-FigureComment"/>
    <w:basedOn w:val="Normal"/>
    <w:link w:val="DNVGL-FigureCommentChar"/>
    <w:uiPriority w:val="99"/>
    <w:rsid w:val="00866BDC"/>
    <w:pPr>
      <w:keepLines/>
      <w:spacing w:after="180"/>
      <w:ind w:left="142" w:hanging="142"/>
      <w:contextualSpacing/>
    </w:pPr>
    <w:rPr>
      <w:sz w:val="13"/>
    </w:rPr>
  </w:style>
  <w:style w:type="character" w:customStyle="1" w:styleId="DNVGL-FigureCommentChar">
    <w:name w:val="DNVGL-FigureComment Char"/>
    <w:basedOn w:val="DefaultParagraphFont"/>
    <w:link w:val="DNVGL-FigureComment"/>
    <w:uiPriority w:val="99"/>
    <w:rsid w:val="00866BDC"/>
    <w:rPr>
      <w:rFonts w:ascii="Arial" w:hAnsi="Arial" w:cs="Arial"/>
      <w:sz w:val="13"/>
      <w:szCs w:val="18"/>
      <w:lang w:val="en-GB"/>
    </w:rPr>
  </w:style>
  <w:style w:type="paragraph" w:customStyle="1" w:styleId="DNVGL-TableComment">
    <w:name w:val="DNVGL-TableComment"/>
    <w:basedOn w:val="Normal"/>
    <w:link w:val="DNVGL-TableCommentChar"/>
    <w:uiPriority w:val="99"/>
    <w:rsid w:val="00866BDC"/>
    <w:pPr>
      <w:keepLines/>
      <w:spacing w:after="180"/>
      <w:ind w:left="142" w:hanging="142"/>
      <w:contextualSpacing/>
    </w:pPr>
    <w:rPr>
      <w:sz w:val="13"/>
    </w:rPr>
  </w:style>
  <w:style w:type="character" w:customStyle="1" w:styleId="DNVGL-TableCommentChar">
    <w:name w:val="DNVGL-TableComment Char"/>
    <w:basedOn w:val="DefaultParagraphFont"/>
    <w:link w:val="DNVGL-TableComment"/>
    <w:uiPriority w:val="99"/>
    <w:rsid w:val="00866BDC"/>
    <w:rPr>
      <w:rFonts w:ascii="Arial" w:hAnsi="Arial" w:cs="Arial"/>
      <w:sz w:val="13"/>
      <w:szCs w:val="18"/>
      <w:lang w:val="en-GB"/>
    </w:rPr>
  </w:style>
  <w:style w:type="paragraph" w:customStyle="1" w:styleId="DNVGL-TableText">
    <w:name w:val="DNVGL-TableText"/>
    <w:basedOn w:val="Normal"/>
    <w:link w:val="DNVGL-TableTextChar"/>
    <w:uiPriority w:val="99"/>
    <w:rsid w:val="00866BDC"/>
    <w:pPr>
      <w:keepNext/>
      <w:keepLines/>
      <w:spacing w:before="20" w:after="20"/>
    </w:pPr>
    <w:rPr>
      <w:sz w:val="16"/>
    </w:rPr>
  </w:style>
  <w:style w:type="character" w:customStyle="1" w:styleId="DNVGL-TableTextChar">
    <w:name w:val="DNVGL-TableText Char"/>
    <w:basedOn w:val="DefaultParagraphFont"/>
    <w:link w:val="DNVGL-TableText"/>
    <w:uiPriority w:val="99"/>
    <w:rsid w:val="00866BDC"/>
    <w:rPr>
      <w:rFonts w:ascii="Arial" w:hAnsi="Arial" w:cs="Arial"/>
      <w:sz w:val="16"/>
      <w:szCs w:val="18"/>
      <w:lang w:val="en-GB"/>
    </w:rPr>
  </w:style>
  <w:style w:type="paragraph" w:customStyle="1" w:styleId="DNVGL-TableHeadingText">
    <w:name w:val="DNVGL-TableHeadingText"/>
    <w:basedOn w:val="DNVGL-TableText"/>
    <w:link w:val="DNVGL-TableHeadingTextChar"/>
    <w:uiPriority w:val="99"/>
    <w:rsid w:val="00866BDC"/>
    <w:rPr>
      <w:b/>
    </w:rPr>
  </w:style>
  <w:style w:type="character" w:customStyle="1" w:styleId="DNVGL-TableHeadingTextChar">
    <w:name w:val="DNVGL-TableHeadingText Char"/>
    <w:basedOn w:val="DefaultParagraphFont"/>
    <w:link w:val="DNVGL-TableHeadingText"/>
    <w:uiPriority w:val="99"/>
    <w:rsid w:val="00866BDC"/>
    <w:rPr>
      <w:rFonts w:ascii="Arial" w:hAnsi="Arial" w:cs="Arial"/>
      <w:b/>
      <w:sz w:val="16"/>
      <w:szCs w:val="18"/>
      <w:lang w:val="en-GB"/>
    </w:rPr>
  </w:style>
  <w:style w:type="paragraph" w:customStyle="1" w:styleId="DNVGL-TOCHeading">
    <w:name w:val="DNVGL-TOC Heading"/>
    <w:basedOn w:val="Normal"/>
    <w:next w:val="Normal"/>
    <w:link w:val="DNVGL-TOCHeadingChar"/>
    <w:uiPriority w:val="99"/>
    <w:rsid w:val="00866BDC"/>
    <w:pPr>
      <w:keepNext/>
      <w:pageBreakBefore/>
      <w:spacing w:before="180"/>
      <w:outlineLvl w:val="0"/>
    </w:pPr>
    <w:rPr>
      <w:sz w:val="26"/>
    </w:rPr>
  </w:style>
  <w:style w:type="character" w:customStyle="1" w:styleId="DNVGL-TOCHeadingChar">
    <w:name w:val="DNVGL-TOC Heading Char"/>
    <w:basedOn w:val="DefaultParagraphFont"/>
    <w:link w:val="DNVGL-TOCHeading"/>
    <w:uiPriority w:val="99"/>
    <w:rsid w:val="00866BDC"/>
    <w:rPr>
      <w:rFonts w:ascii="Arial" w:hAnsi="Arial" w:cs="Arial"/>
      <w:sz w:val="26"/>
      <w:szCs w:val="18"/>
      <w:lang w:val="en-GB"/>
    </w:rPr>
  </w:style>
  <w:style w:type="paragraph" w:customStyle="1" w:styleId="DNVGL-Cover-ProjectName">
    <w:name w:val="DNVGL-Cover-ProjectName"/>
    <w:basedOn w:val="Normal"/>
    <w:link w:val="DNVGL-Cover-ProjectNameChar"/>
    <w:uiPriority w:val="99"/>
    <w:rsid w:val="00221210"/>
    <w:pPr>
      <w:keepNext/>
      <w:keepLines/>
      <w:contextualSpacing/>
    </w:pPr>
    <w:rPr>
      <w:b/>
      <w:caps/>
      <w:color w:val="565655"/>
      <w:sz w:val="26"/>
    </w:rPr>
  </w:style>
  <w:style w:type="character" w:customStyle="1" w:styleId="DNVGL-Cover-ProjectNameChar">
    <w:name w:val="DNVGL-Cover-ProjectName Char"/>
    <w:basedOn w:val="DefaultParagraphFont"/>
    <w:link w:val="DNVGL-Cover-ProjectName"/>
    <w:uiPriority w:val="99"/>
    <w:rsid w:val="00221210"/>
    <w:rPr>
      <w:rFonts w:ascii="Arial" w:hAnsi="Arial" w:cs="Arial"/>
      <w:b/>
      <w:caps/>
      <w:color w:val="565655"/>
      <w:sz w:val="26"/>
      <w:szCs w:val="18"/>
      <w:lang w:val="en-GB"/>
    </w:rPr>
  </w:style>
  <w:style w:type="paragraph" w:customStyle="1" w:styleId="DNVGL-Cover-ReportTitle">
    <w:name w:val="DNVGL-Cover-ReportTitle"/>
    <w:basedOn w:val="Normal"/>
    <w:link w:val="DNVGL-Cover-ReportTitleChar"/>
    <w:uiPriority w:val="99"/>
    <w:rsid w:val="00221210"/>
    <w:pPr>
      <w:keepNext/>
      <w:keepLines/>
      <w:spacing w:after="240"/>
      <w:contextualSpacing/>
    </w:pPr>
    <w:rPr>
      <w:b/>
      <w:color w:val="0F204B"/>
      <w:sz w:val="56"/>
    </w:rPr>
  </w:style>
  <w:style w:type="character" w:customStyle="1" w:styleId="DNVGL-Cover-ReportTitleChar">
    <w:name w:val="DNVGL-Cover-ReportTitle Char"/>
    <w:basedOn w:val="DefaultParagraphFont"/>
    <w:link w:val="DNVGL-Cover-ReportTitle"/>
    <w:uiPriority w:val="99"/>
    <w:rsid w:val="00221210"/>
    <w:rPr>
      <w:rFonts w:ascii="Arial" w:hAnsi="Arial" w:cs="Arial"/>
      <w:b/>
      <w:color w:val="0F204B"/>
      <w:sz w:val="56"/>
      <w:szCs w:val="18"/>
      <w:lang w:val="en-GB"/>
    </w:rPr>
  </w:style>
  <w:style w:type="paragraph" w:customStyle="1" w:styleId="DNVGL-Cover-Company">
    <w:name w:val="DNVGL-Cover-Company"/>
    <w:basedOn w:val="Normal"/>
    <w:link w:val="DNVGL-Cover-CompanyChar"/>
    <w:uiPriority w:val="99"/>
    <w:rsid w:val="00221210"/>
    <w:pPr>
      <w:keepNext/>
      <w:keepLines/>
      <w:contextualSpacing/>
    </w:pPr>
    <w:rPr>
      <w:b/>
      <w:color w:val="565655"/>
      <w:sz w:val="28"/>
    </w:rPr>
  </w:style>
  <w:style w:type="character" w:customStyle="1" w:styleId="DNVGL-Cover-CompanyChar">
    <w:name w:val="DNVGL-Cover-Company Char"/>
    <w:basedOn w:val="DefaultParagraphFont"/>
    <w:link w:val="DNVGL-Cover-Company"/>
    <w:uiPriority w:val="99"/>
    <w:rsid w:val="00221210"/>
    <w:rPr>
      <w:rFonts w:ascii="Arial" w:hAnsi="Arial" w:cs="Arial"/>
      <w:b/>
      <w:color w:val="565655"/>
      <w:sz w:val="28"/>
      <w:szCs w:val="18"/>
      <w:lang w:val="en-GB"/>
    </w:rPr>
  </w:style>
  <w:style w:type="paragraph" w:styleId="BalloonText">
    <w:name w:val="Balloon Text"/>
    <w:basedOn w:val="Normal"/>
    <w:link w:val="BalloonTextChar"/>
    <w:uiPriority w:val="99"/>
    <w:semiHidden/>
    <w:unhideWhenUsed/>
    <w:rsid w:val="00866BDC"/>
    <w:rPr>
      <w:rFonts w:ascii="Tahoma" w:hAnsi="Tahoma" w:cs="Tahoma"/>
      <w:sz w:val="16"/>
      <w:szCs w:val="16"/>
    </w:rPr>
  </w:style>
  <w:style w:type="character" w:customStyle="1" w:styleId="BalloonTextChar">
    <w:name w:val="Balloon Text Char"/>
    <w:basedOn w:val="DefaultParagraphFont"/>
    <w:link w:val="BalloonText"/>
    <w:uiPriority w:val="99"/>
    <w:semiHidden/>
    <w:rsid w:val="00866BDC"/>
    <w:rPr>
      <w:rFonts w:ascii="Tahoma" w:hAnsi="Tahoma" w:cs="Tahoma"/>
      <w:sz w:val="16"/>
      <w:szCs w:val="16"/>
      <w:lang w:val="en-GB"/>
    </w:rPr>
  </w:style>
  <w:style w:type="paragraph" w:styleId="Bibliography">
    <w:name w:val="Bibliography"/>
    <w:basedOn w:val="Normal"/>
    <w:next w:val="Normal"/>
    <w:uiPriority w:val="99"/>
    <w:semiHidden/>
    <w:unhideWhenUsed/>
    <w:rsid w:val="00866BDC"/>
  </w:style>
  <w:style w:type="paragraph" w:styleId="BlockText">
    <w:name w:val="Block Text"/>
    <w:basedOn w:val="Normal"/>
    <w:uiPriority w:val="99"/>
    <w:unhideWhenUsed/>
    <w:rsid w:val="00866BDC"/>
    <w:pPr>
      <w:pBdr>
        <w:top w:val="single" w:sz="2" w:space="10" w:color="4F81BD" w:themeColor="accent1" w:frame="1"/>
        <w:left w:val="single" w:sz="2" w:space="10" w:color="4F81BD" w:themeColor="accent1" w:frame="1"/>
        <w:bottom w:val="single" w:sz="2" w:space="10" w:color="4F81BD" w:themeColor="accent1" w:frame="1"/>
        <w:right w:val="single" w:sz="2" w:space="10" w:color="4F81BD" w:themeColor="accent1" w:frame="1"/>
      </w:pBdr>
      <w:ind w:left="1152" w:right="1152"/>
    </w:pPr>
    <w:rPr>
      <w:rFonts w:asciiTheme="minorHAnsi" w:hAnsiTheme="minorHAnsi" w:cstheme="minorBidi"/>
      <w:i/>
      <w:iCs/>
      <w:color w:val="4F81BD" w:themeColor="accent1"/>
    </w:rPr>
  </w:style>
  <w:style w:type="paragraph" w:styleId="BodyText2">
    <w:name w:val="Body Text 2"/>
    <w:basedOn w:val="Normal"/>
    <w:link w:val="BodyText2Char"/>
    <w:uiPriority w:val="99"/>
    <w:semiHidden/>
    <w:unhideWhenUsed/>
    <w:rsid w:val="00866BDC"/>
    <w:pPr>
      <w:spacing w:after="120" w:line="480" w:lineRule="auto"/>
    </w:pPr>
  </w:style>
  <w:style w:type="character" w:customStyle="1" w:styleId="BodyText2Char">
    <w:name w:val="Body Text 2 Char"/>
    <w:basedOn w:val="DefaultParagraphFont"/>
    <w:link w:val="BodyText2"/>
    <w:uiPriority w:val="99"/>
    <w:semiHidden/>
    <w:rsid w:val="00866BDC"/>
    <w:rPr>
      <w:rFonts w:ascii="Arial" w:hAnsi="Arial" w:cs="Arial"/>
      <w:sz w:val="18"/>
      <w:szCs w:val="18"/>
      <w:lang w:val="en-GB"/>
    </w:rPr>
  </w:style>
  <w:style w:type="paragraph" w:styleId="BodyText3">
    <w:name w:val="Body Text 3"/>
    <w:basedOn w:val="Normal"/>
    <w:link w:val="BodyText3Char"/>
    <w:uiPriority w:val="99"/>
    <w:semiHidden/>
    <w:unhideWhenUsed/>
    <w:rsid w:val="00866BDC"/>
    <w:pPr>
      <w:spacing w:after="120"/>
    </w:pPr>
    <w:rPr>
      <w:sz w:val="16"/>
      <w:szCs w:val="16"/>
    </w:rPr>
  </w:style>
  <w:style w:type="character" w:customStyle="1" w:styleId="BodyText3Char">
    <w:name w:val="Body Text 3 Char"/>
    <w:basedOn w:val="DefaultParagraphFont"/>
    <w:link w:val="BodyText3"/>
    <w:uiPriority w:val="99"/>
    <w:semiHidden/>
    <w:rsid w:val="00866BDC"/>
    <w:rPr>
      <w:rFonts w:ascii="Arial" w:hAnsi="Arial" w:cs="Arial"/>
      <w:sz w:val="16"/>
      <w:szCs w:val="16"/>
      <w:lang w:val="en-GB"/>
    </w:rPr>
  </w:style>
  <w:style w:type="paragraph" w:styleId="BodyTextFirstIndent">
    <w:name w:val="Body Text First Indent"/>
    <w:basedOn w:val="BodyText"/>
    <w:link w:val="BodyTextFirstIndentChar"/>
    <w:uiPriority w:val="99"/>
    <w:semiHidden/>
    <w:unhideWhenUsed/>
    <w:rsid w:val="00866BDC"/>
    <w:pPr>
      <w:spacing w:before="0" w:after="0" w:line="240" w:lineRule="auto"/>
      <w:ind w:firstLine="360"/>
    </w:pPr>
  </w:style>
  <w:style w:type="character" w:customStyle="1" w:styleId="BodyTextFirstIndentChar">
    <w:name w:val="Body Text First Indent Char"/>
    <w:basedOn w:val="BodyTextChar"/>
    <w:link w:val="BodyTextFirstIndent"/>
    <w:uiPriority w:val="99"/>
    <w:semiHidden/>
    <w:rsid w:val="00866BDC"/>
    <w:rPr>
      <w:rFonts w:ascii="Arial" w:hAnsi="Arial" w:cs="Arial"/>
      <w:sz w:val="18"/>
      <w:szCs w:val="18"/>
      <w:lang w:val="en-GB"/>
    </w:rPr>
  </w:style>
  <w:style w:type="paragraph" w:styleId="BodyTextIndent">
    <w:name w:val="Body Text Indent"/>
    <w:basedOn w:val="Normal"/>
    <w:link w:val="BodyTextIndentChar"/>
    <w:uiPriority w:val="99"/>
    <w:semiHidden/>
    <w:unhideWhenUsed/>
    <w:rsid w:val="00866BDC"/>
    <w:pPr>
      <w:spacing w:after="120"/>
      <w:ind w:left="283"/>
    </w:pPr>
  </w:style>
  <w:style w:type="character" w:customStyle="1" w:styleId="BodyTextIndentChar">
    <w:name w:val="Body Text Indent Char"/>
    <w:basedOn w:val="DefaultParagraphFont"/>
    <w:link w:val="BodyTextIndent"/>
    <w:uiPriority w:val="99"/>
    <w:semiHidden/>
    <w:rsid w:val="00866BDC"/>
    <w:rPr>
      <w:rFonts w:ascii="Arial" w:hAnsi="Arial" w:cs="Arial"/>
      <w:sz w:val="18"/>
      <w:szCs w:val="18"/>
      <w:lang w:val="en-GB"/>
    </w:rPr>
  </w:style>
  <w:style w:type="paragraph" w:styleId="BodyTextFirstIndent2">
    <w:name w:val="Body Text First Indent 2"/>
    <w:basedOn w:val="BodyTextIndent"/>
    <w:link w:val="BodyTextFirstIndent2Char"/>
    <w:uiPriority w:val="99"/>
    <w:semiHidden/>
    <w:unhideWhenUsed/>
    <w:rsid w:val="00866BDC"/>
    <w:pPr>
      <w:spacing w:after="0"/>
      <w:ind w:left="360" w:firstLine="360"/>
    </w:pPr>
  </w:style>
  <w:style w:type="character" w:customStyle="1" w:styleId="BodyTextFirstIndent2Char">
    <w:name w:val="Body Text First Indent 2 Char"/>
    <w:basedOn w:val="BodyTextIndentChar"/>
    <w:link w:val="BodyTextFirstIndent2"/>
    <w:uiPriority w:val="99"/>
    <w:semiHidden/>
    <w:rsid w:val="00866BDC"/>
    <w:rPr>
      <w:rFonts w:ascii="Arial" w:hAnsi="Arial" w:cs="Arial"/>
      <w:sz w:val="18"/>
      <w:szCs w:val="18"/>
      <w:lang w:val="en-GB"/>
    </w:rPr>
  </w:style>
  <w:style w:type="paragraph" w:styleId="BodyTextIndent2">
    <w:name w:val="Body Text Indent 2"/>
    <w:basedOn w:val="Normal"/>
    <w:link w:val="BodyTextIndent2Char"/>
    <w:uiPriority w:val="99"/>
    <w:semiHidden/>
    <w:unhideWhenUsed/>
    <w:rsid w:val="00866BDC"/>
    <w:pPr>
      <w:spacing w:after="120" w:line="480" w:lineRule="auto"/>
      <w:ind w:left="283"/>
    </w:pPr>
  </w:style>
  <w:style w:type="character" w:customStyle="1" w:styleId="BodyTextIndent2Char">
    <w:name w:val="Body Text Indent 2 Char"/>
    <w:basedOn w:val="DefaultParagraphFont"/>
    <w:link w:val="BodyTextIndent2"/>
    <w:uiPriority w:val="99"/>
    <w:semiHidden/>
    <w:rsid w:val="00866BDC"/>
    <w:rPr>
      <w:rFonts w:ascii="Arial" w:hAnsi="Arial" w:cs="Arial"/>
      <w:sz w:val="18"/>
      <w:szCs w:val="18"/>
      <w:lang w:val="en-GB"/>
    </w:rPr>
  </w:style>
  <w:style w:type="paragraph" w:styleId="BodyTextIndent3">
    <w:name w:val="Body Text Indent 3"/>
    <w:basedOn w:val="Normal"/>
    <w:link w:val="BodyTextIndent3Char"/>
    <w:uiPriority w:val="99"/>
    <w:semiHidden/>
    <w:unhideWhenUsed/>
    <w:rsid w:val="00866BDC"/>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866BDC"/>
    <w:rPr>
      <w:rFonts w:ascii="Arial" w:hAnsi="Arial" w:cs="Arial"/>
      <w:sz w:val="16"/>
      <w:szCs w:val="16"/>
      <w:lang w:val="en-GB"/>
    </w:rPr>
  </w:style>
  <w:style w:type="character" w:styleId="BookTitle">
    <w:name w:val="Book Title"/>
    <w:basedOn w:val="DefaultParagraphFont"/>
    <w:uiPriority w:val="99"/>
    <w:semiHidden/>
    <w:unhideWhenUsed/>
    <w:rsid w:val="00866BDC"/>
    <w:rPr>
      <w:b/>
      <w:bCs/>
      <w:smallCaps/>
      <w:spacing w:val="5"/>
    </w:rPr>
  </w:style>
  <w:style w:type="paragraph" w:styleId="Closing">
    <w:name w:val="Closing"/>
    <w:basedOn w:val="Normal"/>
    <w:link w:val="ClosingChar"/>
    <w:uiPriority w:val="99"/>
    <w:semiHidden/>
    <w:unhideWhenUsed/>
    <w:rsid w:val="00866BDC"/>
    <w:pPr>
      <w:ind w:left="4252"/>
    </w:pPr>
  </w:style>
  <w:style w:type="character" w:customStyle="1" w:styleId="ClosingChar">
    <w:name w:val="Closing Char"/>
    <w:basedOn w:val="DefaultParagraphFont"/>
    <w:link w:val="Closing"/>
    <w:uiPriority w:val="99"/>
    <w:semiHidden/>
    <w:rsid w:val="00866BDC"/>
    <w:rPr>
      <w:rFonts w:ascii="Arial" w:hAnsi="Arial" w:cs="Arial"/>
      <w:sz w:val="18"/>
      <w:szCs w:val="18"/>
      <w:lang w:val="en-GB"/>
    </w:rPr>
  </w:style>
  <w:style w:type="character" w:styleId="CommentReference">
    <w:name w:val="annotation reference"/>
    <w:basedOn w:val="DefaultParagraphFont"/>
    <w:uiPriority w:val="99"/>
    <w:semiHidden/>
    <w:unhideWhenUsed/>
    <w:rsid w:val="00866BDC"/>
    <w:rPr>
      <w:sz w:val="16"/>
      <w:szCs w:val="16"/>
    </w:rPr>
  </w:style>
  <w:style w:type="paragraph" w:styleId="CommentText">
    <w:name w:val="annotation text"/>
    <w:basedOn w:val="Normal"/>
    <w:link w:val="CommentTextChar"/>
    <w:uiPriority w:val="99"/>
    <w:unhideWhenUsed/>
    <w:rsid w:val="00866BDC"/>
    <w:rPr>
      <w:sz w:val="20"/>
      <w:szCs w:val="20"/>
    </w:rPr>
  </w:style>
  <w:style w:type="character" w:customStyle="1" w:styleId="CommentTextChar">
    <w:name w:val="Comment Text Char"/>
    <w:basedOn w:val="DefaultParagraphFont"/>
    <w:link w:val="CommentText"/>
    <w:uiPriority w:val="99"/>
    <w:rsid w:val="00866BDC"/>
    <w:rPr>
      <w:rFonts w:ascii="Arial" w:hAnsi="Arial" w:cs="Arial"/>
      <w:sz w:val="20"/>
      <w:szCs w:val="20"/>
      <w:lang w:val="en-GB"/>
    </w:rPr>
  </w:style>
  <w:style w:type="paragraph" w:styleId="CommentSubject">
    <w:name w:val="annotation subject"/>
    <w:basedOn w:val="CommentText"/>
    <w:next w:val="CommentText"/>
    <w:link w:val="CommentSubjectChar"/>
    <w:uiPriority w:val="99"/>
    <w:semiHidden/>
    <w:unhideWhenUsed/>
    <w:rsid w:val="00866BDC"/>
    <w:rPr>
      <w:b/>
      <w:bCs/>
    </w:rPr>
  </w:style>
  <w:style w:type="character" w:customStyle="1" w:styleId="CommentSubjectChar">
    <w:name w:val="Comment Subject Char"/>
    <w:basedOn w:val="CommentTextChar"/>
    <w:link w:val="CommentSubject"/>
    <w:uiPriority w:val="99"/>
    <w:semiHidden/>
    <w:rsid w:val="00866BDC"/>
    <w:rPr>
      <w:rFonts w:ascii="Arial" w:hAnsi="Arial" w:cs="Arial"/>
      <w:b/>
      <w:bCs/>
      <w:sz w:val="20"/>
      <w:szCs w:val="20"/>
      <w:lang w:val="en-GB"/>
    </w:rPr>
  </w:style>
  <w:style w:type="paragraph" w:styleId="Date">
    <w:name w:val="Date"/>
    <w:basedOn w:val="Normal"/>
    <w:next w:val="Normal"/>
    <w:link w:val="DateChar"/>
    <w:uiPriority w:val="99"/>
    <w:semiHidden/>
    <w:unhideWhenUsed/>
    <w:rsid w:val="00866BDC"/>
  </w:style>
  <w:style w:type="character" w:customStyle="1" w:styleId="DateChar">
    <w:name w:val="Date Char"/>
    <w:basedOn w:val="DefaultParagraphFont"/>
    <w:link w:val="Date"/>
    <w:uiPriority w:val="99"/>
    <w:semiHidden/>
    <w:rsid w:val="00866BDC"/>
    <w:rPr>
      <w:rFonts w:ascii="Arial" w:hAnsi="Arial" w:cs="Arial"/>
      <w:sz w:val="18"/>
      <w:szCs w:val="18"/>
      <w:lang w:val="en-GB"/>
    </w:rPr>
  </w:style>
  <w:style w:type="paragraph" w:styleId="DocumentMap">
    <w:name w:val="Document Map"/>
    <w:basedOn w:val="Normal"/>
    <w:link w:val="DocumentMapChar"/>
    <w:uiPriority w:val="99"/>
    <w:semiHidden/>
    <w:unhideWhenUsed/>
    <w:rsid w:val="00866BDC"/>
    <w:rPr>
      <w:rFonts w:ascii="Tahoma" w:hAnsi="Tahoma" w:cs="Tahoma"/>
      <w:sz w:val="16"/>
      <w:szCs w:val="16"/>
    </w:rPr>
  </w:style>
  <w:style w:type="character" w:customStyle="1" w:styleId="DocumentMapChar">
    <w:name w:val="Document Map Char"/>
    <w:basedOn w:val="DefaultParagraphFont"/>
    <w:link w:val="DocumentMap"/>
    <w:uiPriority w:val="99"/>
    <w:semiHidden/>
    <w:rsid w:val="00866BDC"/>
    <w:rPr>
      <w:rFonts w:ascii="Tahoma" w:hAnsi="Tahoma" w:cs="Tahoma"/>
      <w:sz w:val="16"/>
      <w:szCs w:val="16"/>
      <w:lang w:val="en-GB"/>
    </w:rPr>
  </w:style>
  <w:style w:type="paragraph" w:styleId="E-mailSignature">
    <w:name w:val="E-mail Signature"/>
    <w:basedOn w:val="Normal"/>
    <w:link w:val="E-mailSignatureChar"/>
    <w:uiPriority w:val="99"/>
    <w:semiHidden/>
    <w:unhideWhenUsed/>
    <w:rsid w:val="00866BDC"/>
  </w:style>
  <w:style w:type="character" w:customStyle="1" w:styleId="E-mailSignatureChar">
    <w:name w:val="E-mail Signature Char"/>
    <w:basedOn w:val="DefaultParagraphFont"/>
    <w:link w:val="E-mailSignature"/>
    <w:uiPriority w:val="99"/>
    <w:semiHidden/>
    <w:rsid w:val="00866BDC"/>
    <w:rPr>
      <w:rFonts w:ascii="Arial" w:hAnsi="Arial" w:cs="Arial"/>
      <w:sz w:val="18"/>
      <w:szCs w:val="18"/>
      <w:lang w:val="en-GB"/>
    </w:rPr>
  </w:style>
  <w:style w:type="character" w:styleId="Emphasis">
    <w:name w:val="Emphasis"/>
    <w:basedOn w:val="DefaultParagraphFont"/>
    <w:uiPriority w:val="99"/>
    <w:semiHidden/>
    <w:unhideWhenUsed/>
    <w:rsid w:val="00866BDC"/>
    <w:rPr>
      <w:i/>
      <w:iCs/>
    </w:rPr>
  </w:style>
  <w:style w:type="character" w:styleId="EndnoteReference">
    <w:name w:val="endnote reference"/>
    <w:basedOn w:val="DefaultParagraphFont"/>
    <w:uiPriority w:val="99"/>
    <w:semiHidden/>
    <w:unhideWhenUsed/>
    <w:rsid w:val="00866BDC"/>
    <w:rPr>
      <w:vertAlign w:val="superscript"/>
    </w:rPr>
  </w:style>
  <w:style w:type="paragraph" w:styleId="EndnoteText">
    <w:name w:val="endnote text"/>
    <w:basedOn w:val="Normal"/>
    <w:link w:val="EndnoteTextChar"/>
    <w:uiPriority w:val="99"/>
    <w:semiHidden/>
    <w:unhideWhenUsed/>
    <w:rsid w:val="00866BDC"/>
    <w:rPr>
      <w:sz w:val="20"/>
      <w:szCs w:val="20"/>
    </w:rPr>
  </w:style>
  <w:style w:type="character" w:customStyle="1" w:styleId="EndnoteTextChar">
    <w:name w:val="Endnote Text Char"/>
    <w:basedOn w:val="DefaultParagraphFont"/>
    <w:link w:val="EndnoteText"/>
    <w:uiPriority w:val="99"/>
    <w:semiHidden/>
    <w:rsid w:val="00866BDC"/>
    <w:rPr>
      <w:rFonts w:ascii="Arial" w:hAnsi="Arial" w:cs="Arial"/>
      <w:sz w:val="20"/>
      <w:szCs w:val="20"/>
      <w:lang w:val="en-GB"/>
    </w:rPr>
  </w:style>
  <w:style w:type="paragraph" w:styleId="EnvelopeAddress">
    <w:name w:val="envelope address"/>
    <w:basedOn w:val="Normal"/>
    <w:uiPriority w:val="99"/>
    <w:semiHidden/>
    <w:unhideWhenUsed/>
    <w:rsid w:val="00866BDC"/>
    <w:pPr>
      <w:framePr w:w="7920" w:h="1980" w:hRule="exact" w:hSpace="180" w:wrap="auto" w:hAnchor="page" w:xAlign="center" w:yAlign="bottom"/>
      <w:ind w:left="2880"/>
    </w:pPr>
    <w:rPr>
      <w:rFonts w:asciiTheme="majorHAnsi" w:eastAsiaTheme="majorEastAsia" w:hAnsiTheme="majorHAnsi" w:cstheme="majorBidi"/>
      <w:sz w:val="24"/>
      <w:szCs w:val="24"/>
    </w:rPr>
  </w:style>
  <w:style w:type="paragraph" w:styleId="EnvelopeReturn">
    <w:name w:val="envelope return"/>
    <w:basedOn w:val="Normal"/>
    <w:uiPriority w:val="99"/>
    <w:semiHidden/>
    <w:unhideWhenUsed/>
    <w:rsid w:val="00866BDC"/>
    <w:rPr>
      <w:rFonts w:asciiTheme="majorHAnsi" w:eastAsiaTheme="majorEastAsia" w:hAnsiTheme="majorHAnsi" w:cstheme="majorBidi"/>
      <w:sz w:val="20"/>
      <w:szCs w:val="20"/>
    </w:rPr>
  </w:style>
  <w:style w:type="character" w:styleId="FollowedHyperlink">
    <w:name w:val="FollowedHyperlink"/>
    <w:basedOn w:val="DefaultParagraphFont"/>
    <w:uiPriority w:val="99"/>
    <w:semiHidden/>
    <w:unhideWhenUsed/>
    <w:rsid w:val="00866BDC"/>
    <w:rPr>
      <w:color w:val="800080" w:themeColor="followedHyperlink"/>
      <w:u w:val="single"/>
    </w:rPr>
  </w:style>
  <w:style w:type="character" w:styleId="HTMLAcronym">
    <w:name w:val="HTML Acronym"/>
    <w:basedOn w:val="DefaultParagraphFont"/>
    <w:uiPriority w:val="99"/>
    <w:semiHidden/>
    <w:unhideWhenUsed/>
    <w:rsid w:val="00866BDC"/>
  </w:style>
  <w:style w:type="paragraph" w:styleId="HTMLAddress">
    <w:name w:val="HTML Address"/>
    <w:basedOn w:val="Normal"/>
    <w:link w:val="HTMLAddressChar"/>
    <w:uiPriority w:val="99"/>
    <w:semiHidden/>
    <w:unhideWhenUsed/>
    <w:rsid w:val="00866BDC"/>
    <w:rPr>
      <w:i/>
      <w:iCs/>
    </w:rPr>
  </w:style>
  <w:style w:type="character" w:customStyle="1" w:styleId="HTMLAddressChar">
    <w:name w:val="HTML Address Char"/>
    <w:basedOn w:val="DefaultParagraphFont"/>
    <w:link w:val="HTMLAddress"/>
    <w:uiPriority w:val="99"/>
    <w:semiHidden/>
    <w:rsid w:val="00866BDC"/>
    <w:rPr>
      <w:rFonts w:ascii="Arial" w:hAnsi="Arial" w:cs="Arial"/>
      <w:i/>
      <w:iCs/>
      <w:sz w:val="18"/>
      <w:szCs w:val="18"/>
      <w:lang w:val="en-GB"/>
    </w:rPr>
  </w:style>
  <w:style w:type="character" w:styleId="HTMLCite">
    <w:name w:val="HTML Cite"/>
    <w:basedOn w:val="DefaultParagraphFont"/>
    <w:uiPriority w:val="99"/>
    <w:semiHidden/>
    <w:unhideWhenUsed/>
    <w:rsid w:val="00866BDC"/>
    <w:rPr>
      <w:i/>
      <w:iCs/>
    </w:rPr>
  </w:style>
  <w:style w:type="character" w:styleId="HTMLCode">
    <w:name w:val="HTML Code"/>
    <w:basedOn w:val="DefaultParagraphFont"/>
    <w:uiPriority w:val="99"/>
    <w:semiHidden/>
    <w:unhideWhenUsed/>
    <w:rsid w:val="00866BDC"/>
    <w:rPr>
      <w:rFonts w:ascii="Consolas" w:hAnsi="Consolas"/>
      <w:sz w:val="20"/>
      <w:szCs w:val="20"/>
    </w:rPr>
  </w:style>
  <w:style w:type="character" w:styleId="HTMLDefinition">
    <w:name w:val="HTML Definition"/>
    <w:basedOn w:val="DefaultParagraphFont"/>
    <w:uiPriority w:val="99"/>
    <w:semiHidden/>
    <w:unhideWhenUsed/>
    <w:rsid w:val="00866BDC"/>
    <w:rPr>
      <w:i/>
      <w:iCs/>
    </w:rPr>
  </w:style>
  <w:style w:type="character" w:styleId="HTMLKeyboard">
    <w:name w:val="HTML Keyboard"/>
    <w:basedOn w:val="DefaultParagraphFont"/>
    <w:uiPriority w:val="99"/>
    <w:semiHidden/>
    <w:unhideWhenUsed/>
    <w:rsid w:val="00866BDC"/>
    <w:rPr>
      <w:rFonts w:ascii="Consolas" w:hAnsi="Consolas"/>
      <w:sz w:val="20"/>
      <w:szCs w:val="20"/>
    </w:rPr>
  </w:style>
  <w:style w:type="paragraph" w:styleId="HTMLPreformatted">
    <w:name w:val="HTML Preformatted"/>
    <w:basedOn w:val="Normal"/>
    <w:link w:val="HTMLPreformattedChar"/>
    <w:uiPriority w:val="99"/>
    <w:semiHidden/>
    <w:unhideWhenUsed/>
    <w:rsid w:val="00866BDC"/>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866BDC"/>
    <w:rPr>
      <w:rFonts w:ascii="Consolas" w:hAnsi="Consolas" w:cs="Arial"/>
      <w:sz w:val="20"/>
      <w:szCs w:val="20"/>
      <w:lang w:val="en-GB"/>
    </w:rPr>
  </w:style>
  <w:style w:type="character" w:styleId="HTMLSample">
    <w:name w:val="HTML Sample"/>
    <w:basedOn w:val="DefaultParagraphFont"/>
    <w:uiPriority w:val="99"/>
    <w:semiHidden/>
    <w:unhideWhenUsed/>
    <w:rsid w:val="00866BDC"/>
    <w:rPr>
      <w:rFonts w:ascii="Consolas" w:hAnsi="Consolas"/>
      <w:sz w:val="24"/>
      <w:szCs w:val="24"/>
    </w:rPr>
  </w:style>
  <w:style w:type="character" w:styleId="HTMLTypewriter">
    <w:name w:val="HTML Typewriter"/>
    <w:basedOn w:val="DefaultParagraphFont"/>
    <w:uiPriority w:val="99"/>
    <w:semiHidden/>
    <w:unhideWhenUsed/>
    <w:rsid w:val="00866BDC"/>
    <w:rPr>
      <w:rFonts w:ascii="Consolas" w:hAnsi="Consolas"/>
      <w:sz w:val="20"/>
      <w:szCs w:val="20"/>
    </w:rPr>
  </w:style>
  <w:style w:type="character" w:styleId="HTMLVariable">
    <w:name w:val="HTML Variable"/>
    <w:basedOn w:val="DefaultParagraphFont"/>
    <w:uiPriority w:val="99"/>
    <w:semiHidden/>
    <w:unhideWhenUsed/>
    <w:rsid w:val="00866BDC"/>
    <w:rPr>
      <w:i/>
      <w:iCs/>
    </w:rPr>
  </w:style>
  <w:style w:type="character" w:styleId="Hyperlink">
    <w:name w:val="Hyperlink"/>
    <w:basedOn w:val="DefaultParagraphFont"/>
    <w:uiPriority w:val="99"/>
    <w:unhideWhenUsed/>
    <w:rsid w:val="00866BDC"/>
    <w:rPr>
      <w:color w:val="0000FF" w:themeColor="hyperlink"/>
      <w:u w:val="single"/>
    </w:rPr>
  </w:style>
  <w:style w:type="paragraph" w:styleId="Index1">
    <w:name w:val="index 1"/>
    <w:basedOn w:val="Normal"/>
    <w:next w:val="Normal"/>
    <w:autoRedefine/>
    <w:uiPriority w:val="99"/>
    <w:unhideWhenUsed/>
    <w:rsid w:val="00866BDC"/>
    <w:pPr>
      <w:ind w:left="180" w:hanging="180"/>
    </w:pPr>
  </w:style>
  <w:style w:type="paragraph" w:styleId="Index2">
    <w:name w:val="index 2"/>
    <w:basedOn w:val="Normal"/>
    <w:next w:val="Normal"/>
    <w:autoRedefine/>
    <w:uiPriority w:val="99"/>
    <w:semiHidden/>
    <w:unhideWhenUsed/>
    <w:rsid w:val="00866BDC"/>
    <w:pPr>
      <w:ind w:left="360" w:hanging="180"/>
    </w:pPr>
  </w:style>
  <w:style w:type="paragraph" w:styleId="Index3">
    <w:name w:val="index 3"/>
    <w:basedOn w:val="Normal"/>
    <w:next w:val="Normal"/>
    <w:autoRedefine/>
    <w:uiPriority w:val="99"/>
    <w:semiHidden/>
    <w:unhideWhenUsed/>
    <w:rsid w:val="00866BDC"/>
    <w:pPr>
      <w:ind w:left="540" w:hanging="180"/>
    </w:pPr>
  </w:style>
  <w:style w:type="paragraph" w:styleId="Index4">
    <w:name w:val="index 4"/>
    <w:basedOn w:val="Normal"/>
    <w:next w:val="Normal"/>
    <w:autoRedefine/>
    <w:uiPriority w:val="99"/>
    <w:semiHidden/>
    <w:unhideWhenUsed/>
    <w:rsid w:val="00866BDC"/>
    <w:pPr>
      <w:ind w:left="720" w:hanging="180"/>
    </w:pPr>
  </w:style>
  <w:style w:type="paragraph" w:styleId="Index5">
    <w:name w:val="index 5"/>
    <w:basedOn w:val="Normal"/>
    <w:next w:val="Normal"/>
    <w:autoRedefine/>
    <w:uiPriority w:val="99"/>
    <w:semiHidden/>
    <w:unhideWhenUsed/>
    <w:rsid w:val="00866BDC"/>
    <w:pPr>
      <w:ind w:left="900" w:hanging="180"/>
    </w:pPr>
  </w:style>
  <w:style w:type="paragraph" w:styleId="Index6">
    <w:name w:val="index 6"/>
    <w:basedOn w:val="Normal"/>
    <w:next w:val="Normal"/>
    <w:autoRedefine/>
    <w:uiPriority w:val="99"/>
    <w:semiHidden/>
    <w:unhideWhenUsed/>
    <w:rsid w:val="00866BDC"/>
    <w:pPr>
      <w:ind w:left="1080" w:hanging="180"/>
    </w:pPr>
  </w:style>
  <w:style w:type="paragraph" w:styleId="Index7">
    <w:name w:val="index 7"/>
    <w:basedOn w:val="Normal"/>
    <w:next w:val="Normal"/>
    <w:autoRedefine/>
    <w:uiPriority w:val="99"/>
    <w:semiHidden/>
    <w:unhideWhenUsed/>
    <w:rsid w:val="00866BDC"/>
    <w:pPr>
      <w:ind w:left="1260" w:hanging="180"/>
    </w:pPr>
  </w:style>
  <w:style w:type="paragraph" w:styleId="Index8">
    <w:name w:val="index 8"/>
    <w:basedOn w:val="Normal"/>
    <w:next w:val="Normal"/>
    <w:autoRedefine/>
    <w:uiPriority w:val="99"/>
    <w:semiHidden/>
    <w:unhideWhenUsed/>
    <w:rsid w:val="00866BDC"/>
    <w:pPr>
      <w:ind w:left="1440" w:hanging="180"/>
    </w:pPr>
  </w:style>
  <w:style w:type="paragraph" w:styleId="Index9">
    <w:name w:val="index 9"/>
    <w:basedOn w:val="Normal"/>
    <w:next w:val="Normal"/>
    <w:autoRedefine/>
    <w:uiPriority w:val="99"/>
    <w:semiHidden/>
    <w:unhideWhenUsed/>
    <w:rsid w:val="00866BDC"/>
    <w:pPr>
      <w:ind w:left="1620" w:hanging="180"/>
    </w:pPr>
  </w:style>
  <w:style w:type="paragraph" w:styleId="IndexHeading">
    <w:name w:val="index heading"/>
    <w:basedOn w:val="Normal"/>
    <w:next w:val="Index1"/>
    <w:uiPriority w:val="99"/>
    <w:semiHidden/>
    <w:unhideWhenUsed/>
    <w:rsid w:val="00866BDC"/>
    <w:rPr>
      <w:rFonts w:asciiTheme="majorHAnsi" w:eastAsiaTheme="majorEastAsia" w:hAnsiTheme="majorHAnsi" w:cstheme="majorBidi"/>
      <w:b/>
      <w:bCs/>
    </w:rPr>
  </w:style>
  <w:style w:type="character" w:styleId="IntenseEmphasis">
    <w:name w:val="Intense Emphasis"/>
    <w:basedOn w:val="DefaultParagraphFont"/>
    <w:uiPriority w:val="99"/>
    <w:semiHidden/>
    <w:unhideWhenUsed/>
    <w:rsid w:val="00866BDC"/>
    <w:rPr>
      <w:b/>
      <w:bCs/>
      <w:i/>
      <w:iCs/>
      <w:color w:val="4F81BD" w:themeColor="accent1"/>
    </w:rPr>
  </w:style>
  <w:style w:type="paragraph" w:styleId="IntenseQuote">
    <w:name w:val="Intense Quote"/>
    <w:basedOn w:val="Normal"/>
    <w:next w:val="Normal"/>
    <w:link w:val="IntenseQuoteChar"/>
    <w:uiPriority w:val="99"/>
    <w:semiHidden/>
    <w:unhideWhenUsed/>
    <w:rsid w:val="00866BDC"/>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866BDC"/>
    <w:rPr>
      <w:rFonts w:ascii="Arial" w:hAnsi="Arial" w:cs="Arial"/>
      <w:b/>
      <w:bCs/>
      <w:i/>
      <w:iCs/>
      <w:color w:val="4F81BD" w:themeColor="accent1"/>
      <w:sz w:val="18"/>
      <w:szCs w:val="18"/>
      <w:lang w:val="en-GB"/>
    </w:rPr>
  </w:style>
  <w:style w:type="character" w:styleId="IntenseReference">
    <w:name w:val="Intense Reference"/>
    <w:basedOn w:val="DefaultParagraphFont"/>
    <w:uiPriority w:val="99"/>
    <w:semiHidden/>
    <w:unhideWhenUsed/>
    <w:rsid w:val="00866BDC"/>
    <w:rPr>
      <w:b/>
      <w:bCs/>
      <w:smallCaps/>
      <w:color w:val="C0504D" w:themeColor="accent2"/>
      <w:spacing w:val="5"/>
      <w:u w:val="single"/>
    </w:rPr>
  </w:style>
  <w:style w:type="character" w:styleId="LineNumber">
    <w:name w:val="line number"/>
    <w:basedOn w:val="DefaultParagraphFont"/>
    <w:uiPriority w:val="99"/>
    <w:semiHidden/>
    <w:unhideWhenUsed/>
    <w:rsid w:val="00866BDC"/>
  </w:style>
  <w:style w:type="paragraph" w:styleId="List">
    <w:name w:val="List"/>
    <w:basedOn w:val="Normal"/>
    <w:uiPriority w:val="99"/>
    <w:unhideWhenUsed/>
    <w:rsid w:val="00866BDC"/>
    <w:pPr>
      <w:ind w:left="283" w:hanging="283"/>
      <w:contextualSpacing/>
    </w:pPr>
  </w:style>
  <w:style w:type="paragraph" w:styleId="List2">
    <w:name w:val="List 2"/>
    <w:basedOn w:val="Normal"/>
    <w:uiPriority w:val="99"/>
    <w:unhideWhenUsed/>
    <w:rsid w:val="00866BDC"/>
    <w:pPr>
      <w:ind w:left="566" w:hanging="283"/>
      <w:contextualSpacing/>
    </w:pPr>
  </w:style>
  <w:style w:type="paragraph" w:styleId="List3">
    <w:name w:val="List 3"/>
    <w:basedOn w:val="Normal"/>
    <w:uiPriority w:val="99"/>
    <w:unhideWhenUsed/>
    <w:rsid w:val="00866BDC"/>
    <w:pPr>
      <w:ind w:left="849" w:hanging="283"/>
      <w:contextualSpacing/>
    </w:pPr>
  </w:style>
  <w:style w:type="paragraph" w:styleId="List4">
    <w:name w:val="List 4"/>
    <w:basedOn w:val="Normal"/>
    <w:uiPriority w:val="99"/>
    <w:semiHidden/>
    <w:unhideWhenUsed/>
    <w:rsid w:val="00866BDC"/>
    <w:pPr>
      <w:ind w:left="1132" w:hanging="283"/>
      <w:contextualSpacing/>
    </w:pPr>
  </w:style>
  <w:style w:type="paragraph" w:styleId="List5">
    <w:name w:val="List 5"/>
    <w:basedOn w:val="Normal"/>
    <w:uiPriority w:val="99"/>
    <w:semiHidden/>
    <w:unhideWhenUsed/>
    <w:rsid w:val="00866BDC"/>
    <w:pPr>
      <w:ind w:left="1415" w:hanging="283"/>
      <w:contextualSpacing/>
    </w:pPr>
  </w:style>
  <w:style w:type="paragraph" w:styleId="ListBullet2">
    <w:name w:val="List Bullet 2"/>
    <w:basedOn w:val="Normal"/>
    <w:uiPriority w:val="99"/>
    <w:unhideWhenUsed/>
    <w:rsid w:val="00540A26"/>
    <w:pPr>
      <w:numPr>
        <w:numId w:val="5"/>
      </w:numPr>
      <w:spacing w:after="140" w:line="280" w:lineRule="atLeast"/>
      <w:contextualSpacing/>
    </w:pPr>
  </w:style>
  <w:style w:type="paragraph" w:styleId="ListBullet3">
    <w:name w:val="List Bullet 3"/>
    <w:basedOn w:val="Normal"/>
    <w:uiPriority w:val="99"/>
    <w:unhideWhenUsed/>
    <w:rsid w:val="00EA3B42"/>
    <w:pPr>
      <w:numPr>
        <w:numId w:val="6"/>
      </w:numPr>
      <w:spacing w:after="140" w:line="280" w:lineRule="atLeast"/>
      <w:ind w:left="922"/>
      <w:contextualSpacing/>
    </w:pPr>
  </w:style>
  <w:style w:type="paragraph" w:styleId="ListBullet4">
    <w:name w:val="List Bullet 4"/>
    <w:basedOn w:val="Normal"/>
    <w:uiPriority w:val="99"/>
    <w:unhideWhenUsed/>
    <w:rsid w:val="00EA3B42"/>
    <w:pPr>
      <w:numPr>
        <w:numId w:val="7"/>
      </w:numPr>
      <w:spacing w:after="140" w:line="280" w:lineRule="atLeast"/>
      <w:ind w:left="1210"/>
      <w:contextualSpacing/>
    </w:pPr>
  </w:style>
  <w:style w:type="paragraph" w:styleId="ListBullet5">
    <w:name w:val="List Bullet 5"/>
    <w:basedOn w:val="Normal"/>
    <w:uiPriority w:val="99"/>
    <w:semiHidden/>
    <w:unhideWhenUsed/>
    <w:rsid w:val="00EA3B42"/>
    <w:pPr>
      <w:numPr>
        <w:numId w:val="8"/>
      </w:numPr>
      <w:spacing w:after="140" w:line="280" w:lineRule="atLeast"/>
      <w:ind w:left="1498"/>
      <w:contextualSpacing/>
    </w:pPr>
  </w:style>
  <w:style w:type="paragraph" w:styleId="ListContinue">
    <w:name w:val="List Continue"/>
    <w:basedOn w:val="Normal"/>
    <w:uiPriority w:val="99"/>
    <w:unhideWhenUsed/>
    <w:rsid w:val="00866BDC"/>
    <w:pPr>
      <w:spacing w:after="120"/>
      <w:ind w:left="283"/>
      <w:contextualSpacing/>
    </w:pPr>
  </w:style>
  <w:style w:type="paragraph" w:styleId="ListContinue2">
    <w:name w:val="List Continue 2"/>
    <w:basedOn w:val="Normal"/>
    <w:uiPriority w:val="99"/>
    <w:unhideWhenUsed/>
    <w:rsid w:val="00866BDC"/>
    <w:pPr>
      <w:spacing w:after="120"/>
      <w:ind w:left="566"/>
      <w:contextualSpacing/>
    </w:pPr>
  </w:style>
  <w:style w:type="paragraph" w:styleId="ListContinue3">
    <w:name w:val="List Continue 3"/>
    <w:basedOn w:val="Normal"/>
    <w:uiPriority w:val="99"/>
    <w:semiHidden/>
    <w:unhideWhenUsed/>
    <w:rsid w:val="00866BDC"/>
    <w:pPr>
      <w:spacing w:after="120"/>
      <w:ind w:left="849"/>
      <w:contextualSpacing/>
    </w:pPr>
  </w:style>
  <w:style w:type="paragraph" w:styleId="ListContinue4">
    <w:name w:val="List Continue 4"/>
    <w:basedOn w:val="Normal"/>
    <w:uiPriority w:val="99"/>
    <w:semiHidden/>
    <w:unhideWhenUsed/>
    <w:rsid w:val="00866BDC"/>
    <w:pPr>
      <w:spacing w:after="120"/>
      <w:ind w:left="1132"/>
      <w:contextualSpacing/>
    </w:pPr>
  </w:style>
  <w:style w:type="paragraph" w:styleId="ListContinue5">
    <w:name w:val="List Continue 5"/>
    <w:basedOn w:val="Normal"/>
    <w:uiPriority w:val="99"/>
    <w:semiHidden/>
    <w:unhideWhenUsed/>
    <w:rsid w:val="00866BDC"/>
    <w:pPr>
      <w:spacing w:after="120"/>
      <w:ind w:left="1415"/>
      <w:contextualSpacing/>
    </w:pPr>
  </w:style>
  <w:style w:type="paragraph" w:styleId="ListNumber2">
    <w:name w:val="List Number 2"/>
    <w:basedOn w:val="Normal"/>
    <w:uiPriority w:val="99"/>
    <w:unhideWhenUsed/>
    <w:rsid w:val="00690D3F"/>
    <w:pPr>
      <w:numPr>
        <w:numId w:val="9"/>
      </w:numPr>
      <w:spacing w:after="140" w:line="280" w:lineRule="atLeast"/>
      <w:contextualSpacing/>
    </w:pPr>
  </w:style>
  <w:style w:type="paragraph" w:styleId="ListNumber3">
    <w:name w:val="List Number 3"/>
    <w:basedOn w:val="Normal"/>
    <w:uiPriority w:val="99"/>
    <w:semiHidden/>
    <w:unhideWhenUsed/>
    <w:rsid w:val="00EA3B42"/>
    <w:pPr>
      <w:numPr>
        <w:numId w:val="10"/>
      </w:numPr>
      <w:spacing w:after="140" w:line="280" w:lineRule="atLeast"/>
      <w:ind w:left="922"/>
      <w:contextualSpacing/>
    </w:pPr>
  </w:style>
  <w:style w:type="paragraph" w:styleId="ListNumber4">
    <w:name w:val="List Number 4"/>
    <w:basedOn w:val="Normal"/>
    <w:uiPriority w:val="99"/>
    <w:semiHidden/>
    <w:unhideWhenUsed/>
    <w:rsid w:val="00EA3B42"/>
    <w:pPr>
      <w:numPr>
        <w:numId w:val="11"/>
      </w:numPr>
      <w:spacing w:after="140" w:line="280" w:lineRule="atLeast"/>
      <w:ind w:left="1210"/>
      <w:contextualSpacing/>
    </w:pPr>
  </w:style>
  <w:style w:type="paragraph" w:styleId="ListNumber5">
    <w:name w:val="List Number 5"/>
    <w:basedOn w:val="Normal"/>
    <w:uiPriority w:val="99"/>
    <w:semiHidden/>
    <w:unhideWhenUsed/>
    <w:rsid w:val="00EA3B42"/>
    <w:pPr>
      <w:numPr>
        <w:numId w:val="12"/>
      </w:numPr>
      <w:spacing w:after="140" w:line="280" w:lineRule="atLeast"/>
      <w:ind w:left="1498"/>
      <w:contextualSpacing/>
    </w:pPr>
  </w:style>
  <w:style w:type="paragraph" w:styleId="ListParagraph">
    <w:name w:val="List Paragraph"/>
    <w:basedOn w:val="Normal"/>
    <w:uiPriority w:val="99"/>
    <w:unhideWhenUsed/>
    <w:rsid w:val="00866BDC"/>
    <w:pPr>
      <w:ind w:left="720"/>
      <w:contextualSpacing/>
    </w:pPr>
  </w:style>
  <w:style w:type="paragraph" w:styleId="MacroText">
    <w:name w:val="macro"/>
    <w:link w:val="MacroTextChar"/>
    <w:uiPriority w:val="99"/>
    <w:semiHidden/>
    <w:unhideWhenUsed/>
    <w:rsid w:val="00866BDC"/>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nsolas" w:hAnsi="Consolas" w:cs="Arial"/>
      <w:sz w:val="20"/>
      <w:szCs w:val="20"/>
      <w:lang w:val="en-GB"/>
    </w:rPr>
  </w:style>
  <w:style w:type="character" w:customStyle="1" w:styleId="MacroTextChar">
    <w:name w:val="Macro Text Char"/>
    <w:basedOn w:val="DefaultParagraphFont"/>
    <w:link w:val="MacroText"/>
    <w:uiPriority w:val="99"/>
    <w:semiHidden/>
    <w:rsid w:val="00866BDC"/>
    <w:rPr>
      <w:rFonts w:ascii="Consolas" w:hAnsi="Consolas" w:cs="Arial"/>
      <w:sz w:val="20"/>
      <w:szCs w:val="20"/>
      <w:lang w:val="en-GB"/>
    </w:rPr>
  </w:style>
  <w:style w:type="paragraph" w:styleId="MessageHeader">
    <w:name w:val="Message Header"/>
    <w:basedOn w:val="Normal"/>
    <w:link w:val="MessageHeaderChar"/>
    <w:uiPriority w:val="99"/>
    <w:semiHidden/>
    <w:unhideWhenUsed/>
    <w:rsid w:val="00866BDC"/>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uiPriority w:val="99"/>
    <w:semiHidden/>
    <w:rsid w:val="00866BDC"/>
    <w:rPr>
      <w:rFonts w:asciiTheme="majorHAnsi" w:eastAsiaTheme="majorEastAsia" w:hAnsiTheme="majorHAnsi" w:cstheme="majorBidi"/>
      <w:sz w:val="24"/>
      <w:szCs w:val="24"/>
      <w:shd w:val="pct20" w:color="auto" w:fill="auto"/>
      <w:lang w:val="en-GB"/>
    </w:rPr>
  </w:style>
  <w:style w:type="paragraph" w:styleId="NoSpacing">
    <w:name w:val="No Spacing"/>
    <w:uiPriority w:val="99"/>
    <w:semiHidden/>
    <w:unhideWhenUsed/>
    <w:rsid w:val="00866BDC"/>
    <w:pPr>
      <w:spacing w:after="0" w:line="240" w:lineRule="auto"/>
    </w:pPr>
    <w:rPr>
      <w:rFonts w:ascii="Arial" w:hAnsi="Arial" w:cs="Arial"/>
      <w:sz w:val="18"/>
      <w:szCs w:val="18"/>
      <w:lang w:val="en-GB"/>
    </w:rPr>
  </w:style>
  <w:style w:type="paragraph" w:styleId="NormalWeb">
    <w:name w:val="Normal (Web)"/>
    <w:basedOn w:val="Normal"/>
    <w:uiPriority w:val="99"/>
    <w:semiHidden/>
    <w:unhideWhenUsed/>
    <w:rsid w:val="00866BDC"/>
    <w:rPr>
      <w:rFonts w:ascii="Times New Roman" w:hAnsi="Times New Roman" w:cs="Times New Roman"/>
      <w:sz w:val="24"/>
      <w:szCs w:val="24"/>
    </w:rPr>
  </w:style>
  <w:style w:type="paragraph" w:styleId="NormalIndent">
    <w:name w:val="Normal Indent"/>
    <w:basedOn w:val="Normal"/>
    <w:uiPriority w:val="99"/>
    <w:semiHidden/>
    <w:unhideWhenUsed/>
    <w:rsid w:val="00866BDC"/>
    <w:pPr>
      <w:ind w:left="720"/>
    </w:pPr>
  </w:style>
  <w:style w:type="paragraph" w:styleId="NoteHeading">
    <w:name w:val="Note Heading"/>
    <w:basedOn w:val="Normal"/>
    <w:next w:val="Normal"/>
    <w:link w:val="NoteHeadingChar"/>
    <w:uiPriority w:val="99"/>
    <w:semiHidden/>
    <w:unhideWhenUsed/>
    <w:rsid w:val="00866BDC"/>
  </w:style>
  <w:style w:type="character" w:customStyle="1" w:styleId="NoteHeadingChar">
    <w:name w:val="Note Heading Char"/>
    <w:basedOn w:val="DefaultParagraphFont"/>
    <w:link w:val="NoteHeading"/>
    <w:uiPriority w:val="99"/>
    <w:semiHidden/>
    <w:rsid w:val="00866BDC"/>
    <w:rPr>
      <w:rFonts w:ascii="Arial" w:hAnsi="Arial" w:cs="Arial"/>
      <w:sz w:val="18"/>
      <w:szCs w:val="18"/>
      <w:lang w:val="en-GB"/>
    </w:rPr>
  </w:style>
  <w:style w:type="character" w:styleId="PageNumber">
    <w:name w:val="page number"/>
    <w:basedOn w:val="DefaultParagraphFont"/>
    <w:uiPriority w:val="99"/>
    <w:semiHidden/>
    <w:unhideWhenUsed/>
    <w:rsid w:val="00866BDC"/>
  </w:style>
  <w:style w:type="paragraph" w:styleId="PlainText">
    <w:name w:val="Plain Text"/>
    <w:basedOn w:val="Normal"/>
    <w:link w:val="PlainTextChar"/>
    <w:uiPriority w:val="99"/>
    <w:semiHidden/>
    <w:unhideWhenUsed/>
    <w:rsid w:val="00866BDC"/>
    <w:rPr>
      <w:rFonts w:ascii="Consolas" w:hAnsi="Consolas"/>
      <w:sz w:val="21"/>
      <w:szCs w:val="21"/>
    </w:rPr>
  </w:style>
  <w:style w:type="character" w:customStyle="1" w:styleId="PlainTextChar">
    <w:name w:val="Plain Text Char"/>
    <w:basedOn w:val="DefaultParagraphFont"/>
    <w:link w:val="PlainText"/>
    <w:uiPriority w:val="99"/>
    <w:semiHidden/>
    <w:rsid w:val="00866BDC"/>
    <w:rPr>
      <w:rFonts w:ascii="Consolas" w:hAnsi="Consolas" w:cs="Arial"/>
      <w:sz w:val="21"/>
      <w:szCs w:val="21"/>
      <w:lang w:val="en-GB"/>
    </w:rPr>
  </w:style>
  <w:style w:type="paragraph" w:styleId="Quote">
    <w:name w:val="Quote"/>
    <w:basedOn w:val="Normal"/>
    <w:next w:val="Normal"/>
    <w:link w:val="QuoteChar"/>
    <w:uiPriority w:val="99"/>
    <w:semiHidden/>
    <w:unhideWhenUsed/>
    <w:rsid w:val="00866BDC"/>
    <w:rPr>
      <w:i/>
      <w:iCs/>
      <w:color w:val="000000" w:themeColor="text1"/>
    </w:rPr>
  </w:style>
  <w:style w:type="character" w:customStyle="1" w:styleId="QuoteChar">
    <w:name w:val="Quote Char"/>
    <w:basedOn w:val="DefaultParagraphFont"/>
    <w:link w:val="Quote"/>
    <w:uiPriority w:val="29"/>
    <w:rsid w:val="00866BDC"/>
    <w:rPr>
      <w:rFonts w:ascii="Arial" w:hAnsi="Arial" w:cs="Arial"/>
      <w:i/>
      <w:iCs/>
      <w:color w:val="000000" w:themeColor="text1"/>
      <w:sz w:val="18"/>
      <w:szCs w:val="18"/>
      <w:lang w:val="en-GB"/>
    </w:rPr>
  </w:style>
  <w:style w:type="paragraph" w:styleId="Salutation">
    <w:name w:val="Salutation"/>
    <w:basedOn w:val="Normal"/>
    <w:next w:val="Normal"/>
    <w:link w:val="SalutationChar"/>
    <w:uiPriority w:val="99"/>
    <w:semiHidden/>
    <w:unhideWhenUsed/>
    <w:rsid w:val="00866BDC"/>
  </w:style>
  <w:style w:type="character" w:customStyle="1" w:styleId="SalutationChar">
    <w:name w:val="Salutation Char"/>
    <w:basedOn w:val="DefaultParagraphFont"/>
    <w:link w:val="Salutation"/>
    <w:uiPriority w:val="99"/>
    <w:semiHidden/>
    <w:rsid w:val="00866BDC"/>
    <w:rPr>
      <w:rFonts w:ascii="Arial" w:hAnsi="Arial" w:cs="Arial"/>
      <w:sz w:val="18"/>
      <w:szCs w:val="18"/>
      <w:lang w:val="en-GB"/>
    </w:rPr>
  </w:style>
  <w:style w:type="paragraph" w:styleId="Signature">
    <w:name w:val="Signature"/>
    <w:basedOn w:val="Normal"/>
    <w:link w:val="SignatureChar"/>
    <w:uiPriority w:val="99"/>
    <w:semiHidden/>
    <w:unhideWhenUsed/>
    <w:rsid w:val="00866BDC"/>
    <w:pPr>
      <w:ind w:left="4252"/>
    </w:pPr>
  </w:style>
  <w:style w:type="character" w:customStyle="1" w:styleId="SignatureChar">
    <w:name w:val="Signature Char"/>
    <w:basedOn w:val="DefaultParagraphFont"/>
    <w:link w:val="Signature"/>
    <w:uiPriority w:val="99"/>
    <w:semiHidden/>
    <w:rsid w:val="00866BDC"/>
    <w:rPr>
      <w:rFonts w:ascii="Arial" w:hAnsi="Arial" w:cs="Arial"/>
      <w:sz w:val="18"/>
      <w:szCs w:val="18"/>
      <w:lang w:val="en-GB"/>
    </w:rPr>
  </w:style>
  <w:style w:type="character" w:styleId="Strong">
    <w:name w:val="Strong"/>
    <w:basedOn w:val="DefaultParagraphFont"/>
    <w:uiPriority w:val="99"/>
    <w:semiHidden/>
    <w:unhideWhenUsed/>
    <w:rsid w:val="00866BDC"/>
    <w:rPr>
      <w:b/>
      <w:bCs/>
    </w:rPr>
  </w:style>
  <w:style w:type="paragraph" w:styleId="Subtitle">
    <w:name w:val="Subtitle"/>
    <w:basedOn w:val="Normal"/>
    <w:next w:val="Normal"/>
    <w:link w:val="SubtitleChar"/>
    <w:uiPriority w:val="99"/>
    <w:semiHidden/>
    <w:unhideWhenUsed/>
    <w:rsid w:val="00866BDC"/>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866BDC"/>
    <w:rPr>
      <w:rFonts w:asciiTheme="majorHAnsi" w:eastAsiaTheme="majorEastAsia" w:hAnsiTheme="majorHAnsi" w:cstheme="majorBidi"/>
      <w:i/>
      <w:iCs/>
      <w:color w:val="4F81BD" w:themeColor="accent1"/>
      <w:spacing w:val="15"/>
      <w:sz w:val="24"/>
      <w:szCs w:val="24"/>
      <w:lang w:val="en-GB"/>
    </w:rPr>
  </w:style>
  <w:style w:type="character" w:styleId="SubtleEmphasis">
    <w:name w:val="Subtle Emphasis"/>
    <w:basedOn w:val="DefaultParagraphFont"/>
    <w:uiPriority w:val="99"/>
    <w:semiHidden/>
    <w:unhideWhenUsed/>
    <w:rsid w:val="00866BDC"/>
    <w:rPr>
      <w:i/>
      <w:iCs/>
      <w:color w:val="808080" w:themeColor="text1" w:themeTint="7F"/>
    </w:rPr>
  </w:style>
  <w:style w:type="character" w:styleId="SubtleReference">
    <w:name w:val="Subtle Reference"/>
    <w:basedOn w:val="DefaultParagraphFont"/>
    <w:uiPriority w:val="99"/>
    <w:semiHidden/>
    <w:unhideWhenUsed/>
    <w:rsid w:val="00866BDC"/>
    <w:rPr>
      <w:smallCaps/>
      <w:color w:val="C0504D" w:themeColor="accent2"/>
      <w:u w:val="single"/>
    </w:rPr>
  </w:style>
  <w:style w:type="paragraph" w:styleId="TableofAuthorities">
    <w:name w:val="table of authorities"/>
    <w:basedOn w:val="Normal"/>
    <w:next w:val="Normal"/>
    <w:uiPriority w:val="99"/>
    <w:semiHidden/>
    <w:unhideWhenUsed/>
    <w:rsid w:val="00866BDC"/>
    <w:pPr>
      <w:ind w:left="180" w:hanging="180"/>
    </w:pPr>
  </w:style>
  <w:style w:type="paragraph" w:styleId="TableofFigures">
    <w:name w:val="table of figures"/>
    <w:basedOn w:val="Normal"/>
    <w:next w:val="Normal"/>
    <w:uiPriority w:val="99"/>
    <w:semiHidden/>
    <w:unhideWhenUsed/>
    <w:rsid w:val="00866BDC"/>
  </w:style>
  <w:style w:type="paragraph" w:styleId="Title">
    <w:name w:val="Title"/>
    <w:basedOn w:val="Normal"/>
    <w:next w:val="Normal"/>
    <w:link w:val="TitleChar"/>
    <w:uiPriority w:val="99"/>
    <w:semiHidden/>
    <w:unhideWhenUsed/>
    <w:rsid w:val="00866BDC"/>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866BDC"/>
    <w:rPr>
      <w:rFonts w:asciiTheme="majorHAnsi" w:eastAsiaTheme="majorEastAsia" w:hAnsiTheme="majorHAnsi" w:cstheme="majorBidi"/>
      <w:color w:val="17365D" w:themeColor="text2" w:themeShade="BF"/>
      <w:spacing w:val="5"/>
      <w:kern w:val="28"/>
      <w:sz w:val="52"/>
      <w:szCs w:val="52"/>
      <w:lang w:val="en-GB"/>
    </w:rPr>
  </w:style>
  <w:style w:type="paragraph" w:styleId="TOAHeading">
    <w:name w:val="toa heading"/>
    <w:basedOn w:val="Normal"/>
    <w:next w:val="Normal"/>
    <w:uiPriority w:val="99"/>
    <w:semiHidden/>
    <w:unhideWhenUsed/>
    <w:rsid w:val="00866BDC"/>
    <w:pPr>
      <w:spacing w:before="120"/>
    </w:pPr>
    <w:rPr>
      <w:rFonts w:asciiTheme="majorHAnsi" w:eastAsiaTheme="majorEastAsia" w:hAnsiTheme="majorHAnsi" w:cstheme="majorBidi"/>
      <w:b/>
      <w:bCs/>
      <w:sz w:val="24"/>
      <w:szCs w:val="24"/>
    </w:rPr>
  </w:style>
  <w:style w:type="paragraph" w:styleId="TOC9">
    <w:name w:val="toc 9"/>
    <w:basedOn w:val="Normal"/>
    <w:next w:val="Normal"/>
    <w:autoRedefine/>
    <w:uiPriority w:val="99"/>
    <w:semiHidden/>
    <w:unhideWhenUsed/>
    <w:rsid w:val="00866BDC"/>
    <w:pPr>
      <w:spacing w:after="100"/>
      <w:ind w:left="1440"/>
    </w:pPr>
  </w:style>
  <w:style w:type="paragraph" w:styleId="TOCHeading">
    <w:name w:val="TOC Heading"/>
    <w:basedOn w:val="Heading1"/>
    <w:next w:val="Normal"/>
    <w:uiPriority w:val="99"/>
    <w:semiHidden/>
    <w:unhideWhenUsed/>
    <w:rsid w:val="00866BDC"/>
    <w:pPr>
      <w:keepLines/>
      <w:numPr>
        <w:numId w:val="0"/>
      </w:numPr>
      <w:spacing w:before="480"/>
      <w:outlineLvl w:val="9"/>
    </w:pPr>
    <w:rPr>
      <w:rFonts w:asciiTheme="majorHAnsi" w:eastAsiaTheme="majorEastAsia" w:hAnsiTheme="majorHAnsi" w:cstheme="majorBidi"/>
      <w:bCs/>
      <w:caps w:val="0"/>
      <w:color w:val="365F91" w:themeColor="accent1" w:themeShade="BF"/>
      <w:sz w:val="28"/>
      <w:szCs w:val="28"/>
    </w:rPr>
  </w:style>
  <w:style w:type="numbering" w:styleId="111111">
    <w:name w:val="Outline List 2"/>
    <w:basedOn w:val="NoList"/>
    <w:uiPriority w:val="99"/>
    <w:semiHidden/>
    <w:unhideWhenUsed/>
    <w:rsid w:val="007376B6"/>
    <w:pPr>
      <w:numPr>
        <w:numId w:val="13"/>
      </w:numPr>
    </w:pPr>
  </w:style>
  <w:style w:type="numbering" w:styleId="1ai">
    <w:name w:val="Outline List 1"/>
    <w:basedOn w:val="NoList"/>
    <w:uiPriority w:val="99"/>
    <w:semiHidden/>
    <w:unhideWhenUsed/>
    <w:rsid w:val="007376B6"/>
    <w:pPr>
      <w:numPr>
        <w:numId w:val="14"/>
      </w:numPr>
    </w:pPr>
  </w:style>
  <w:style w:type="numbering" w:styleId="ArticleSection">
    <w:name w:val="Outline List 3"/>
    <w:basedOn w:val="NoList"/>
    <w:uiPriority w:val="99"/>
    <w:semiHidden/>
    <w:unhideWhenUsed/>
    <w:rsid w:val="007376B6"/>
    <w:pPr>
      <w:numPr>
        <w:numId w:val="15"/>
      </w:numPr>
    </w:pPr>
  </w:style>
  <w:style w:type="table" w:styleId="ColorfulGrid">
    <w:name w:val="Colorful Grid"/>
    <w:basedOn w:val="TableNormal"/>
    <w:uiPriority w:val="99"/>
    <w:semiHidden/>
    <w:unhideWhenUsed/>
    <w:rsid w:val="007376B6"/>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99"/>
    <w:semiHidden/>
    <w:unhideWhenUsed/>
    <w:rsid w:val="007376B6"/>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rfulGrid-Accent2">
    <w:name w:val="Colorful Grid Accent 2"/>
    <w:basedOn w:val="TableNormal"/>
    <w:uiPriority w:val="99"/>
    <w:semiHidden/>
    <w:unhideWhenUsed/>
    <w:rsid w:val="007376B6"/>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olorfulGrid-Accent3">
    <w:name w:val="Colorful Grid Accent 3"/>
    <w:basedOn w:val="TableNormal"/>
    <w:uiPriority w:val="99"/>
    <w:semiHidden/>
    <w:unhideWhenUsed/>
    <w:rsid w:val="007376B6"/>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olorfulGrid-Accent4">
    <w:name w:val="Colorful Grid Accent 4"/>
    <w:basedOn w:val="TableNormal"/>
    <w:uiPriority w:val="99"/>
    <w:semiHidden/>
    <w:unhideWhenUsed/>
    <w:rsid w:val="007376B6"/>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ColorfulGrid-Accent5">
    <w:name w:val="Colorful Grid Accent 5"/>
    <w:basedOn w:val="TableNormal"/>
    <w:uiPriority w:val="99"/>
    <w:semiHidden/>
    <w:unhideWhenUsed/>
    <w:rsid w:val="007376B6"/>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olorfulGrid-Accent6">
    <w:name w:val="Colorful Grid Accent 6"/>
    <w:basedOn w:val="TableNormal"/>
    <w:uiPriority w:val="99"/>
    <w:semiHidden/>
    <w:unhideWhenUsed/>
    <w:rsid w:val="007376B6"/>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ColorfulList">
    <w:name w:val="Colorful List"/>
    <w:basedOn w:val="TableNormal"/>
    <w:uiPriority w:val="99"/>
    <w:semiHidden/>
    <w:unhideWhenUsed/>
    <w:rsid w:val="007376B6"/>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99"/>
    <w:semiHidden/>
    <w:unhideWhenUsed/>
    <w:rsid w:val="007376B6"/>
    <w:pPr>
      <w:spacing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ColorfulList-Accent2">
    <w:name w:val="Colorful List Accent 2"/>
    <w:basedOn w:val="TableNormal"/>
    <w:uiPriority w:val="99"/>
    <w:semiHidden/>
    <w:unhideWhenUsed/>
    <w:rsid w:val="007376B6"/>
    <w:pPr>
      <w:spacing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rfulList-Accent3">
    <w:name w:val="Colorful List Accent 3"/>
    <w:basedOn w:val="TableNormal"/>
    <w:uiPriority w:val="99"/>
    <w:semiHidden/>
    <w:unhideWhenUsed/>
    <w:rsid w:val="007376B6"/>
    <w:pPr>
      <w:spacing w:after="0" w:line="240" w:lineRule="auto"/>
    </w:pPr>
    <w:rPr>
      <w:color w:val="000000" w:themeColor="text1"/>
    </w:rPr>
    <w:tblPr>
      <w:tblStyleRowBandSize w:val="1"/>
      <w:tblStyleColBandSize w:val="1"/>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ColorfulList-Accent4">
    <w:name w:val="Colorful List Accent 4"/>
    <w:basedOn w:val="TableNormal"/>
    <w:uiPriority w:val="99"/>
    <w:semiHidden/>
    <w:unhideWhenUsed/>
    <w:rsid w:val="007376B6"/>
    <w:pPr>
      <w:spacing w:after="0" w:line="240" w:lineRule="auto"/>
    </w:pPr>
    <w:rPr>
      <w:color w:val="000000" w:themeColor="text1"/>
    </w:rPr>
    <w:tblPr>
      <w:tblStyleRowBandSize w:val="1"/>
      <w:tblStyleColBandSize w:val="1"/>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ColorfulList-Accent5">
    <w:name w:val="Colorful List Accent 5"/>
    <w:basedOn w:val="TableNormal"/>
    <w:uiPriority w:val="99"/>
    <w:semiHidden/>
    <w:unhideWhenUsed/>
    <w:rsid w:val="007376B6"/>
    <w:pPr>
      <w:spacing w:after="0" w:line="240" w:lineRule="auto"/>
    </w:pPr>
    <w:rPr>
      <w:color w:val="000000" w:themeColor="text1"/>
    </w:rPr>
    <w:tblPr>
      <w:tblStyleRowBandSize w:val="1"/>
      <w:tblStyleColBandSize w:val="1"/>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ColorfulList-Accent6">
    <w:name w:val="Colorful List Accent 6"/>
    <w:basedOn w:val="TableNormal"/>
    <w:uiPriority w:val="99"/>
    <w:semiHidden/>
    <w:unhideWhenUsed/>
    <w:rsid w:val="007376B6"/>
    <w:pPr>
      <w:spacing w:after="0" w:line="240" w:lineRule="auto"/>
    </w:pPr>
    <w:rPr>
      <w:color w:val="000000" w:themeColor="text1"/>
    </w:rPr>
    <w:tblPr>
      <w:tblStyleRowBandSize w:val="1"/>
      <w:tblStyleColBandSize w:val="1"/>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ColorfulShading">
    <w:name w:val="Colorful Shading"/>
    <w:basedOn w:val="TableNormal"/>
    <w:uiPriority w:val="99"/>
    <w:semiHidden/>
    <w:unhideWhenUsed/>
    <w:rsid w:val="007376B6"/>
    <w:pPr>
      <w:spacing w:after="0" w:line="240" w:lineRule="auto"/>
    </w:pPr>
    <w:rPr>
      <w:color w:val="000000" w:themeColor="text1"/>
    </w:rPr>
    <w:tblPr>
      <w:tblStyleRowBandSize w:val="1"/>
      <w:tblStyleColBandSize w:val="1"/>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99"/>
    <w:semiHidden/>
    <w:unhideWhenUsed/>
    <w:rsid w:val="007376B6"/>
    <w:pPr>
      <w:spacing w:after="0" w:line="240" w:lineRule="auto"/>
    </w:pPr>
    <w:rPr>
      <w:color w:val="000000" w:themeColor="text1"/>
    </w:rPr>
    <w:tblPr>
      <w:tblStyleRowBandSize w:val="1"/>
      <w:tblStyleColBandSize w:val="1"/>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99"/>
    <w:semiHidden/>
    <w:unhideWhenUsed/>
    <w:rsid w:val="007376B6"/>
    <w:pPr>
      <w:spacing w:after="0" w:line="240" w:lineRule="auto"/>
    </w:pPr>
    <w:rPr>
      <w:color w:val="000000" w:themeColor="text1"/>
    </w:rPr>
    <w:tblPr>
      <w:tblStyleRowBandSize w:val="1"/>
      <w:tblStyleColBandSize w:val="1"/>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99"/>
    <w:semiHidden/>
    <w:unhideWhenUsed/>
    <w:rsid w:val="007376B6"/>
    <w:pPr>
      <w:spacing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ColorfulShading-Accent4">
    <w:name w:val="Colorful Shading Accent 4"/>
    <w:basedOn w:val="TableNormal"/>
    <w:uiPriority w:val="99"/>
    <w:semiHidden/>
    <w:unhideWhenUsed/>
    <w:rsid w:val="007376B6"/>
    <w:pPr>
      <w:spacing w:after="0" w:line="240" w:lineRule="auto"/>
    </w:pPr>
    <w:rPr>
      <w:color w:val="000000" w:themeColor="text1"/>
    </w:rPr>
    <w:tblPr>
      <w:tblStyleRowBandSize w:val="1"/>
      <w:tblStyleColBandSize w:val="1"/>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99"/>
    <w:semiHidden/>
    <w:unhideWhenUsed/>
    <w:rsid w:val="007376B6"/>
    <w:pPr>
      <w:spacing w:after="0" w:line="240" w:lineRule="auto"/>
    </w:pPr>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99"/>
    <w:semiHidden/>
    <w:unhideWhenUsed/>
    <w:rsid w:val="007376B6"/>
    <w:pPr>
      <w:spacing w:after="0" w:line="240" w:lineRule="auto"/>
    </w:pPr>
    <w:rPr>
      <w:color w:val="000000" w:themeColor="text1"/>
    </w:rPr>
    <w:tblPr>
      <w:tblStyleRowBandSize w:val="1"/>
      <w:tblStyleColBandSize w:val="1"/>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DarkList">
    <w:name w:val="Dark List"/>
    <w:basedOn w:val="TableNormal"/>
    <w:uiPriority w:val="99"/>
    <w:semiHidden/>
    <w:unhideWhenUsed/>
    <w:rsid w:val="007376B6"/>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99"/>
    <w:semiHidden/>
    <w:unhideWhenUsed/>
    <w:rsid w:val="007376B6"/>
    <w:pPr>
      <w:spacing w:after="0" w:line="240" w:lineRule="auto"/>
    </w:pPr>
    <w:rPr>
      <w:color w:val="FFFFFF" w:themeColor="background1"/>
    </w:rPr>
    <w:tblPr>
      <w:tblStyleRowBandSize w:val="1"/>
      <w:tblStyleColBandSize w:val="1"/>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arkList-Accent2">
    <w:name w:val="Dark List Accent 2"/>
    <w:basedOn w:val="TableNormal"/>
    <w:uiPriority w:val="99"/>
    <w:semiHidden/>
    <w:unhideWhenUsed/>
    <w:rsid w:val="007376B6"/>
    <w:pPr>
      <w:spacing w:after="0" w:line="240" w:lineRule="auto"/>
    </w:pPr>
    <w:rPr>
      <w:color w:val="FFFFFF" w:themeColor="background1"/>
    </w:rPr>
    <w:tblPr>
      <w:tblStyleRowBandSize w:val="1"/>
      <w:tblStyleColBandSize w:val="1"/>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arkList-Accent3">
    <w:name w:val="Dark List Accent 3"/>
    <w:basedOn w:val="TableNormal"/>
    <w:uiPriority w:val="99"/>
    <w:semiHidden/>
    <w:unhideWhenUsed/>
    <w:rsid w:val="007376B6"/>
    <w:pPr>
      <w:spacing w:after="0" w:line="240" w:lineRule="auto"/>
    </w:pPr>
    <w:rPr>
      <w:color w:val="FFFFFF" w:themeColor="background1"/>
    </w:rPr>
    <w:tblPr>
      <w:tblStyleRowBandSize w:val="1"/>
      <w:tblStyleColBandSize w:val="1"/>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arkList-Accent4">
    <w:name w:val="Dark List Accent 4"/>
    <w:basedOn w:val="TableNormal"/>
    <w:uiPriority w:val="99"/>
    <w:semiHidden/>
    <w:unhideWhenUsed/>
    <w:rsid w:val="007376B6"/>
    <w:pPr>
      <w:spacing w:after="0" w:line="240" w:lineRule="auto"/>
    </w:pPr>
    <w:rPr>
      <w:color w:val="FFFFFF" w:themeColor="background1"/>
    </w:rPr>
    <w:tblPr>
      <w:tblStyleRowBandSize w:val="1"/>
      <w:tblStyleColBandSize w:val="1"/>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arkList-Accent5">
    <w:name w:val="Dark List Accent 5"/>
    <w:basedOn w:val="TableNormal"/>
    <w:uiPriority w:val="99"/>
    <w:semiHidden/>
    <w:unhideWhenUsed/>
    <w:rsid w:val="007376B6"/>
    <w:pPr>
      <w:spacing w:after="0" w:line="240" w:lineRule="auto"/>
    </w:pPr>
    <w:rPr>
      <w:color w:val="FFFFFF" w:themeColor="background1"/>
    </w:rPr>
    <w:tblPr>
      <w:tblStyleRowBandSize w:val="1"/>
      <w:tblStyleColBandSize w:val="1"/>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arkList-Accent6">
    <w:name w:val="Dark List Accent 6"/>
    <w:basedOn w:val="TableNormal"/>
    <w:uiPriority w:val="99"/>
    <w:semiHidden/>
    <w:unhideWhenUsed/>
    <w:rsid w:val="007376B6"/>
    <w:pPr>
      <w:spacing w:after="0" w:line="240" w:lineRule="auto"/>
    </w:pPr>
    <w:rPr>
      <w:color w:val="FFFFFF" w:themeColor="background1"/>
    </w:rPr>
    <w:tblPr>
      <w:tblStyleRowBandSize w:val="1"/>
      <w:tblStyleColBandSize w:val="1"/>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GridTable1Light">
    <w:name w:val="Grid Table 1 Light"/>
    <w:basedOn w:val="TableNormal"/>
    <w:uiPriority w:val="99"/>
    <w:rsid w:val="007376B6"/>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dTable1Light-Accent1">
    <w:name w:val="Grid Table 1 Light Accent 1"/>
    <w:basedOn w:val="TableNormal"/>
    <w:uiPriority w:val="99"/>
    <w:rsid w:val="007376B6"/>
    <w:pPr>
      <w:spacing w:after="0" w:line="240" w:lineRule="auto"/>
    </w:p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table" w:styleId="GridTable1Light-Accent2">
    <w:name w:val="Grid Table 1 Light Accent 2"/>
    <w:basedOn w:val="TableNormal"/>
    <w:uiPriority w:val="99"/>
    <w:rsid w:val="007376B6"/>
    <w:pPr>
      <w:spacing w:after="0" w:line="240" w:lineRule="auto"/>
    </w:pPr>
    <w:tblPr>
      <w:tblStyleRowBandSize w:val="1"/>
      <w:tblStyleColBandSize w:val="1"/>
      <w:tblBorders>
        <w:top w:val="single" w:sz="4" w:space="0" w:color="E5B8B7" w:themeColor="accent2" w:themeTint="66"/>
        <w:left w:val="single" w:sz="4" w:space="0" w:color="E5B8B7" w:themeColor="accent2" w:themeTint="66"/>
        <w:bottom w:val="single" w:sz="4" w:space="0" w:color="E5B8B7" w:themeColor="accent2" w:themeTint="66"/>
        <w:right w:val="single" w:sz="4" w:space="0" w:color="E5B8B7" w:themeColor="accent2" w:themeTint="66"/>
        <w:insideH w:val="single" w:sz="4" w:space="0" w:color="E5B8B7" w:themeColor="accent2" w:themeTint="66"/>
        <w:insideV w:val="single" w:sz="4" w:space="0" w:color="E5B8B7" w:themeColor="accent2" w:themeTint="66"/>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2" w:space="0" w:color="D99594" w:themeColor="accent2" w:themeTint="99"/>
        </w:tcBorders>
      </w:tcPr>
    </w:tblStylePr>
    <w:tblStylePr w:type="firstCol">
      <w:rPr>
        <w:b/>
        <w:bCs/>
      </w:rPr>
    </w:tblStylePr>
    <w:tblStylePr w:type="lastCol">
      <w:rPr>
        <w:b/>
        <w:bCs/>
      </w:rPr>
    </w:tblStylePr>
  </w:style>
  <w:style w:type="table" w:styleId="GridTable1Light-Accent3">
    <w:name w:val="Grid Table 1 Light Accent 3"/>
    <w:basedOn w:val="TableNormal"/>
    <w:uiPriority w:val="99"/>
    <w:rsid w:val="007376B6"/>
    <w:pPr>
      <w:spacing w:after="0" w:line="240" w:lineRule="auto"/>
    </w:pPr>
    <w:tblPr>
      <w:tblStyleRowBandSize w:val="1"/>
      <w:tblStyleColBandSize w:val="1"/>
      <w:tblBorders>
        <w:top w:val="single" w:sz="4" w:space="0" w:color="D6E3BC" w:themeColor="accent3" w:themeTint="66"/>
        <w:left w:val="single" w:sz="4" w:space="0" w:color="D6E3BC" w:themeColor="accent3" w:themeTint="66"/>
        <w:bottom w:val="single" w:sz="4" w:space="0" w:color="D6E3BC" w:themeColor="accent3" w:themeTint="66"/>
        <w:right w:val="single" w:sz="4" w:space="0" w:color="D6E3BC" w:themeColor="accent3" w:themeTint="66"/>
        <w:insideH w:val="single" w:sz="4" w:space="0" w:color="D6E3BC" w:themeColor="accent3" w:themeTint="66"/>
        <w:insideV w:val="single" w:sz="4" w:space="0" w:color="D6E3BC" w:themeColor="accent3" w:themeTint="66"/>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2" w:space="0" w:color="C2D69B" w:themeColor="accent3" w:themeTint="99"/>
        </w:tcBorders>
      </w:tcPr>
    </w:tblStylePr>
    <w:tblStylePr w:type="firstCol">
      <w:rPr>
        <w:b/>
        <w:bCs/>
      </w:rPr>
    </w:tblStylePr>
    <w:tblStylePr w:type="lastCol">
      <w:rPr>
        <w:b/>
        <w:bCs/>
      </w:rPr>
    </w:tblStylePr>
  </w:style>
  <w:style w:type="table" w:styleId="GridTable1Light-Accent4">
    <w:name w:val="Grid Table 1 Light Accent 4"/>
    <w:basedOn w:val="TableNormal"/>
    <w:uiPriority w:val="99"/>
    <w:rsid w:val="007376B6"/>
    <w:pPr>
      <w:spacing w:after="0" w:line="240" w:lineRule="auto"/>
    </w:pPr>
    <w:tblPr>
      <w:tblStyleRowBandSize w:val="1"/>
      <w:tblStyleColBandSize w:val="1"/>
      <w:tblBorders>
        <w:top w:val="single" w:sz="4" w:space="0" w:color="CCC0D9" w:themeColor="accent4" w:themeTint="66"/>
        <w:left w:val="single" w:sz="4" w:space="0" w:color="CCC0D9" w:themeColor="accent4" w:themeTint="66"/>
        <w:bottom w:val="single" w:sz="4" w:space="0" w:color="CCC0D9" w:themeColor="accent4" w:themeTint="66"/>
        <w:right w:val="single" w:sz="4" w:space="0" w:color="CCC0D9" w:themeColor="accent4" w:themeTint="66"/>
        <w:insideH w:val="single" w:sz="4" w:space="0" w:color="CCC0D9" w:themeColor="accent4" w:themeTint="66"/>
        <w:insideV w:val="single" w:sz="4" w:space="0" w:color="CCC0D9" w:themeColor="accent4" w:themeTint="66"/>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2" w:space="0" w:color="B2A1C7" w:themeColor="accent4"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99"/>
    <w:rsid w:val="007376B6"/>
    <w:pPr>
      <w:spacing w:after="0" w:line="240" w:lineRule="auto"/>
    </w:pPr>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table" w:styleId="GridTable1Light-Accent6">
    <w:name w:val="Grid Table 1 Light Accent 6"/>
    <w:basedOn w:val="TableNormal"/>
    <w:uiPriority w:val="99"/>
    <w:rsid w:val="007376B6"/>
    <w:pPr>
      <w:spacing w:after="0" w:line="240" w:lineRule="auto"/>
    </w:pPr>
    <w:tblPr>
      <w:tblStyleRowBandSize w:val="1"/>
      <w:tblStyleColBandSize w:val="1"/>
      <w:tblBorders>
        <w:top w:val="single" w:sz="4" w:space="0" w:color="FBD4B4" w:themeColor="accent6" w:themeTint="66"/>
        <w:left w:val="single" w:sz="4" w:space="0" w:color="FBD4B4" w:themeColor="accent6" w:themeTint="66"/>
        <w:bottom w:val="single" w:sz="4" w:space="0" w:color="FBD4B4" w:themeColor="accent6" w:themeTint="66"/>
        <w:right w:val="single" w:sz="4" w:space="0" w:color="FBD4B4" w:themeColor="accent6" w:themeTint="66"/>
        <w:insideH w:val="single" w:sz="4" w:space="0" w:color="FBD4B4" w:themeColor="accent6" w:themeTint="66"/>
        <w:insideV w:val="single" w:sz="4" w:space="0" w:color="FBD4B4" w:themeColor="accent6" w:themeTint="66"/>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2" w:space="0" w:color="FABF8F" w:themeColor="accent6" w:themeTint="99"/>
        </w:tcBorders>
      </w:tcPr>
    </w:tblStylePr>
    <w:tblStylePr w:type="firstCol">
      <w:rPr>
        <w:b/>
        <w:bCs/>
      </w:rPr>
    </w:tblStylePr>
    <w:tblStylePr w:type="lastCol">
      <w:rPr>
        <w:b/>
        <w:bCs/>
      </w:rPr>
    </w:tblStylePr>
  </w:style>
  <w:style w:type="table" w:styleId="GridTable2">
    <w:name w:val="Grid Table 2"/>
    <w:basedOn w:val="TableNormal"/>
    <w:uiPriority w:val="99"/>
    <w:rsid w:val="007376B6"/>
    <w:pPr>
      <w:spacing w:after="0" w:line="240" w:lineRule="auto"/>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2-Accent1">
    <w:name w:val="Grid Table 2 Accent 1"/>
    <w:basedOn w:val="TableNormal"/>
    <w:uiPriority w:val="99"/>
    <w:rsid w:val="007376B6"/>
    <w:pPr>
      <w:spacing w:after="0" w:line="240" w:lineRule="auto"/>
    </w:pPr>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ridTable2-Accent2">
    <w:name w:val="Grid Table 2 Accent 2"/>
    <w:basedOn w:val="TableNormal"/>
    <w:uiPriority w:val="99"/>
    <w:rsid w:val="007376B6"/>
    <w:pPr>
      <w:spacing w:after="0" w:line="240" w:lineRule="auto"/>
    </w:pPr>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GridTable2-Accent3">
    <w:name w:val="Grid Table 2 Accent 3"/>
    <w:basedOn w:val="TableNormal"/>
    <w:uiPriority w:val="99"/>
    <w:rsid w:val="007376B6"/>
    <w:pPr>
      <w:spacing w:after="0" w:line="240" w:lineRule="auto"/>
    </w:pPr>
    <w:tblPr>
      <w:tblStyleRowBandSize w:val="1"/>
      <w:tblStyleColBandSize w:val="1"/>
      <w:tblBorders>
        <w:top w:val="single" w:sz="2" w:space="0" w:color="C2D69B" w:themeColor="accent3" w:themeTint="99"/>
        <w:bottom w:val="single" w:sz="2" w:space="0" w:color="C2D69B" w:themeColor="accent3" w:themeTint="99"/>
        <w:insideH w:val="single" w:sz="2" w:space="0" w:color="C2D69B" w:themeColor="accent3" w:themeTint="99"/>
        <w:insideV w:val="single" w:sz="2" w:space="0" w:color="C2D69B" w:themeColor="accent3" w:themeTint="99"/>
      </w:tblBorders>
    </w:tblPr>
    <w:tblStylePr w:type="firstRow">
      <w:rPr>
        <w:b/>
        <w:bCs/>
      </w:rPr>
      <w:tblPr/>
      <w:tcPr>
        <w:tcBorders>
          <w:top w:val="nil"/>
          <w:bottom w:val="single" w:sz="12" w:space="0" w:color="C2D69B" w:themeColor="accent3" w:themeTint="99"/>
          <w:insideH w:val="nil"/>
          <w:insideV w:val="nil"/>
        </w:tcBorders>
        <w:shd w:val="clear" w:color="auto" w:fill="FFFFFF" w:themeFill="background1"/>
      </w:tcPr>
    </w:tblStylePr>
    <w:tblStylePr w:type="lastRow">
      <w:rPr>
        <w:b/>
        <w:bCs/>
      </w:rPr>
      <w:tblPr/>
      <w:tcPr>
        <w:tcBorders>
          <w:top w:val="double" w:sz="2" w:space="0" w:color="C2D69B"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GridTable2-Accent4">
    <w:name w:val="Grid Table 2 Accent 4"/>
    <w:basedOn w:val="TableNormal"/>
    <w:uiPriority w:val="99"/>
    <w:rsid w:val="007376B6"/>
    <w:pPr>
      <w:spacing w:after="0" w:line="240" w:lineRule="auto"/>
    </w:pPr>
    <w:tblPr>
      <w:tblStyleRowBandSize w:val="1"/>
      <w:tblStyleColBandSize w:val="1"/>
      <w:tblBorders>
        <w:top w:val="single" w:sz="2" w:space="0" w:color="B2A1C7" w:themeColor="accent4" w:themeTint="99"/>
        <w:bottom w:val="single" w:sz="2" w:space="0" w:color="B2A1C7" w:themeColor="accent4" w:themeTint="99"/>
        <w:insideH w:val="single" w:sz="2" w:space="0" w:color="B2A1C7" w:themeColor="accent4" w:themeTint="99"/>
        <w:insideV w:val="single" w:sz="2" w:space="0" w:color="B2A1C7" w:themeColor="accent4" w:themeTint="99"/>
      </w:tblBorders>
    </w:tblPr>
    <w:tblStylePr w:type="firstRow">
      <w:rPr>
        <w:b/>
        <w:bCs/>
      </w:rPr>
      <w:tblPr/>
      <w:tcPr>
        <w:tcBorders>
          <w:top w:val="nil"/>
          <w:bottom w:val="single" w:sz="12" w:space="0" w:color="B2A1C7" w:themeColor="accent4" w:themeTint="99"/>
          <w:insideH w:val="nil"/>
          <w:insideV w:val="nil"/>
        </w:tcBorders>
        <w:shd w:val="clear" w:color="auto" w:fill="FFFFFF" w:themeFill="background1"/>
      </w:tcPr>
    </w:tblStylePr>
    <w:tblStylePr w:type="lastRow">
      <w:rPr>
        <w:b/>
        <w:bCs/>
      </w:rPr>
      <w:tblPr/>
      <w:tcPr>
        <w:tcBorders>
          <w:top w:val="double" w:sz="2" w:space="0" w:color="B2A1C7"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GridTable2-Accent5">
    <w:name w:val="Grid Table 2 Accent 5"/>
    <w:basedOn w:val="TableNormal"/>
    <w:uiPriority w:val="99"/>
    <w:rsid w:val="007376B6"/>
    <w:pPr>
      <w:spacing w:after="0" w:line="240" w:lineRule="auto"/>
    </w:pPr>
    <w:tblPr>
      <w:tblStyleRowBandSize w:val="1"/>
      <w:tblStyleColBandSize w:val="1"/>
      <w:tblBorders>
        <w:top w:val="single" w:sz="2" w:space="0" w:color="92CDDC" w:themeColor="accent5" w:themeTint="99"/>
        <w:bottom w:val="single" w:sz="2" w:space="0" w:color="92CDDC" w:themeColor="accent5" w:themeTint="99"/>
        <w:insideH w:val="single" w:sz="2" w:space="0" w:color="92CDDC" w:themeColor="accent5" w:themeTint="99"/>
        <w:insideV w:val="single" w:sz="2" w:space="0" w:color="92CDDC" w:themeColor="accent5" w:themeTint="99"/>
      </w:tblBorders>
    </w:tblPr>
    <w:tblStylePr w:type="firstRow">
      <w:rPr>
        <w:b/>
        <w:bCs/>
      </w:rPr>
      <w:tblPr/>
      <w:tcPr>
        <w:tcBorders>
          <w:top w:val="nil"/>
          <w:bottom w:val="single" w:sz="12" w:space="0" w:color="92CDDC" w:themeColor="accent5" w:themeTint="99"/>
          <w:insideH w:val="nil"/>
          <w:insideV w:val="nil"/>
        </w:tcBorders>
        <w:shd w:val="clear" w:color="auto" w:fill="FFFFFF" w:themeFill="background1"/>
      </w:tcPr>
    </w:tblStylePr>
    <w:tblStylePr w:type="lastRow">
      <w:rPr>
        <w:b/>
        <w:bCs/>
      </w:rPr>
      <w:tblPr/>
      <w:tcPr>
        <w:tcBorders>
          <w:top w:val="double" w:sz="2" w:space="0" w:color="92CDDC"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GridTable2-Accent6">
    <w:name w:val="Grid Table 2 Accent 6"/>
    <w:basedOn w:val="TableNormal"/>
    <w:uiPriority w:val="99"/>
    <w:rsid w:val="007376B6"/>
    <w:pPr>
      <w:spacing w:after="0" w:line="240" w:lineRule="auto"/>
    </w:pPr>
    <w:tblPr>
      <w:tblStyleRowBandSize w:val="1"/>
      <w:tblStyleColBandSize w:val="1"/>
      <w:tblBorders>
        <w:top w:val="single" w:sz="2" w:space="0" w:color="FABF8F" w:themeColor="accent6" w:themeTint="99"/>
        <w:bottom w:val="single" w:sz="2" w:space="0" w:color="FABF8F" w:themeColor="accent6" w:themeTint="99"/>
        <w:insideH w:val="single" w:sz="2" w:space="0" w:color="FABF8F" w:themeColor="accent6" w:themeTint="99"/>
        <w:insideV w:val="single" w:sz="2" w:space="0" w:color="FABF8F" w:themeColor="accent6" w:themeTint="99"/>
      </w:tblBorders>
    </w:tblPr>
    <w:tblStylePr w:type="firstRow">
      <w:rPr>
        <w:b/>
        <w:bCs/>
      </w:rPr>
      <w:tblPr/>
      <w:tcPr>
        <w:tcBorders>
          <w:top w:val="nil"/>
          <w:bottom w:val="single" w:sz="12" w:space="0" w:color="FABF8F" w:themeColor="accent6" w:themeTint="99"/>
          <w:insideH w:val="nil"/>
          <w:insideV w:val="nil"/>
        </w:tcBorders>
        <w:shd w:val="clear" w:color="auto" w:fill="FFFFFF" w:themeFill="background1"/>
      </w:tcPr>
    </w:tblStylePr>
    <w:tblStylePr w:type="lastRow">
      <w:rPr>
        <w:b/>
        <w:bCs/>
      </w:rPr>
      <w:tblPr/>
      <w:tcPr>
        <w:tcBorders>
          <w:top w:val="double" w:sz="2" w:space="0" w:color="FABF8F"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GridTable3">
    <w:name w:val="Grid Table 3"/>
    <w:basedOn w:val="TableNormal"/>
    <w:uiPriority w:val="99"/>
    <w:rsid w:val="007376B6"/>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ridTable3-Accent1">
    <w:name w:val="Grid Table 3 Accent 1"/>
    <w:basedOn w:val="TableNormal"/>
    <w:uiPriority w:val="99"/>
    <w:rsid w:val="007376B6"/>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styleId="GridTable3-Accent2">
    <w:name w:val="Grid Table 3 Accent 2"/>
    <w:basedOn w:val="TableNormal"/>
    <w:uiPriority w:val="99"/>
    <w:rsid w:val="007376B6"/>
    <w:pPr>
      <w:spacing w:after="0" w:line="240" w:lineRule="auto"/>
    </w:p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bottom w:val="single" w:sz="4" w:space="0" w:color="D99594" w:themeColor="accent2" w:themeTint="99"/>
        </w:tcBorders>
      </w:tcPr>
    </w:tblStylePr>
    <w:tblStylePr w:type="nwCell">
      <w:tblPr/>
      <w:tcPr>
        <w:tcBorders>
          <w:bottom w:val="single" w:sz="4" w:space="0" w:color="D99594" w:themeColor="accent2" w:themeTint="99"/>
        </w:tcBorders>
      </w:tcPr>
    </w:tblStylePr>
    <w:tblStylePr w:type="seCell">
      <w:tblPr/>
      <w:tcPr>
        <w:tcBorders>
          <w:top w:val="single" w:sz="4" w:space="0" w:color="D99594" w:themeColor="accent2" w:themeTint="99"/>
        </w:tcBorders>
      </w:tcPr>
    </w:tblStylePr>
    <w:tblStylePr w:type="swCell">
      <w:tblPr/>
      <w:tcPr>
        <w:tcBorders>
          <w:top w:val="single" w:sz="4" w:space="0" w:color="D99594" w:themeColor="accent2" w:themeTint="99"/>
        </w:tcBorders>
      </w:tcPr>
    </w:tblStylePr>
  </w:style>
  <w:style w:type="table" w:styleId="GridTable3-Accent3">
    <w:name w:val="Grid Table 3 Accent 3"/>
    <w:basedOn w:val="TableNormal"/>
    <w:uiPriority w:val="99"/>
    <w:rsid w:val="007376B6"/>
    <w:pPr>
      <w:spacing w:after="0" w:line="240" w:lineRule="auto"/>
    </w:p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bottom w:val="single" w:sz="4" w:space="0" w:color="C2D69B" w:themeColor="accent3" w:themeTint="99"/>
        </w:tcBorders>
      </w:tcPr>
    </w:tblStylePr>
    <w:tblStylePr w:type="nwCell">
      <w:tblPr/>
      <w:tcPr>
        <w:tcBorders>
          <w:bottom w:val="single" w:sz="4" w:space="0" w:color="C2D69B" w:themeColor="accent3" w:themeTint="99"/>
        </w:tcBorders>
      </w:tcPr>
    </w:tblStylePr>
    <w:tblStylePr w:type="seCell">
      <w:tblPr/>
      <w:tcPr>
        <w:tcBorders>
          <w:top w:val="single" w:sz="4" w:space="0" w:color="C2D69B" w:themeColor="accent3" w:themeTint="99"/>
        </w:tcBorders>
      </w:tcPr>
    </w:tblStylePr>
    <w:tblStylePr w:type="swCell">
      <w:tblPr/>
      <w:tcPr>
        <w:tcBorders>
          <w:top w:val="single" w:sz="4" w:space="0" w:color="C2D69B" w:themeColor="accent3" w:themeTint="99"/>
        </w:tcBorders>
      </w:tcPr>
    </w:tblStylePr>
  </w:style>
  <w:style w:type="table" w:styleId="GridTable3-Accent4">
    <w:name w:val="Grid Table 3 Accent 4"/>
    <w:basedOn w:val="TableNormal"/>
    <w:uiPriority w:val="99"/>
    <w:rsid w:val="007376B6"/>
    <w:pPr>
      <w:spacing w:after="0" w:line="240" w:lineRule="auto"/>
    </w:p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bottom w:val="single" w:sz="4" w:space="0" w:color="B2A1C7" w:themeColor="accent4" w:themeTint="99"/>
        </w:tcBorders>
      </w:tcPr>
    </w:tblStylePr>
    <w:tblStylePr w:type="nwCell">
      <w:tblPr/>
      <w:tcPr>
        <w:tcBorders>
          <w:bottom w:val="single" w:sz="4" w:space="0" w:color="B2A1C7" w:themeColor="accent4" w:themeTint="99"/>
        </w:tcBorders>
      </w:tcPr>
    </w:tblStylePr>
    <w:tblStylePr w:type="seCell">
      <w:tblPr/>
      <w:tcPr>
        <w:tcBorders>
          <w:top w:val="single" w:sz="4" w:space="0" w:color="B2A1C7" w:themeColor="accent4" w:themeTint="99"/>
        </w:tcBorders>
      </w:tcPr>
    </w:tblStylePr>
    <w:tblStylePr w:type="swCell">
      <w:tblPr/>
      <w:tcPr>
        <w:tcBorders>
          <w:top w:val="single" w:sz="4" w:space="0" w:color="B2A1C7" w:themeColor="accent4" w:themeTint="99"/>
        </w:tcBorders>
      </w:tcPr>
    </w:tblStylePr>
  </w:style>
  <w:style w:type="table" w:styleId="GridTable3-Accent5">
    <w:name w:val="Grid Table 3 Accent 5"/>
    <w:basedOn w:val="TableNormal"/>
    <w:uiPriority w:val="99"/>
    <w:rsid w:val="007376B6"/>
    <w:pPr>
      <w:spacing w:after="0" w:line="240" w:lineRule="auto"/>
    </w:p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table" w:styleId="GridTable3-Accent6">
    <w:name w:val="Grid Table 3 Accent 6"/>
    <w:basedOn w:val="TableNormal"/>
    <w:uiPriority w:val="99"/>
    <w:rsid w:val="007376B6"/>
    <w:pPr>
      <w:spacing w:after="0" w:line="240" w:lineRule="auto"/>
    </w:p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table" w:styleId="GridTable4">
    <w:name w:val="Grid Table 4"/>
    <w:basedOn w:val="TableNormal"/>
    <w:uiPriority w:val="99"/>
    <w:rsid w:val="007376B6"/>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4-Accent1">
    <w:name w:val="Grid Table 4 Accent 1"/>
    <w:basedOn w:val="TableNormal"/>
    <w:uiPriority w:val="99"/>
    <w:rsid w:val="007376B6"/>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ridTable4-Accent2">
    <w:name w:val="Grid Table 4 Accent 2"/>
    <w:basedOn w:val="TableNormal"/>
    <w:uiPriority w:val="99"/>
    <w:rsid w:val="007376B6"/>
    <w:pPr>
      <w:spacing w:after="0" w:line="240" w:lineRule="auto"/>
    </w:p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insideV w:val="nil"/>
        </w:tcBorders>
        <w:shd w:val="clear" w:color="auto" w:fill="C0504D" w:themeFill="accent2"/>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GridTable4-Accent3">
    <w:name w:val="Grid Table 4 Accent 3"/>
    <w:basedOn w:val="TableNormal"/>
    <w:uiPriority w:val="99"/>
    <w:rsid w:val="007376B6"/>
    <w:pPr>
      <w:spacing w:after="0" w:line="240" w:lineRule="auto"/>
    </w:p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GridTable4-Accent4">
    <w:name w:val="Grid Table 4 Accent 4"/>
    <w:basedOn w:val="TableNormal"/>
    <w:uiPriority w:val="99"/>
    <w:rsid w:val="007376B6"/>
    <w:pPr>
      <w:spacing w:after="0" w:line="240" w:lineRule="auto"/>
    </w:p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GridTable4-Accent5">
    <w:name w:val="Grid Table 4 Accent 5"/>
    <w:basedOn w:val="TableNormal"/>
    <w:uiPriority w:val="99"/>
    <w:rsid w:val="007376B6"/>
    <w:pPr>
      <w:spacing w:after="0" w:line="240" w:lineRule="auto"/>
    </w:p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GridTable4-Accent6">
    <w:name w:val="Grid Table 4 Accent 6"/>
    <w:basedOn w:val="TableNormal"/>
    <w:uiPriority w:val="99"/>
    <w:rsid w:val="007376B6"/>
    <w:pPr>
      <w:spacing w:after="0" w:line="240" w:lineRule="auto"/>
    </w:p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GridTable5Dark">
    <w:name w:val="Grid Table 5 Dark"/>
    <w:basedOn w:val="TableNormal"/>
    <w:uiPriority w:val="99"/>
    <w:rsid w:val="007376B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ridTable5Dark-Accent1">
    <w:name w:val="Grid Table 5 Dark Accent 1"/>
    <w:basedOn w:val="TableNormal"/>
    <w:uiPriority w:val="99"/>
    <w:rsid w:val="007376B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styleId="GridTable5Dark-Accent2">
    <w:name w:val="Grid Table 5 Dark Accent 2"/>
    <w:basedOn w:val="TableNormal"/>
    <w:uiPriority w:val="99"/>
    <w:rsid w:val="007376B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DBDB"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C0504D"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C0504D"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C0504D"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C0504D" w:themeFill="accent2"/>
      </w:tcPr>
    </w:tblStylePr>
    <w:tblStylePr w:type="band1Vert">
      <w:tblPr/>
      <w:tcPr>
        <w:shd w:val="clear" w:color="auto" w:fill="E5B8B7" w:themeFill="accent2" w:themeFillTint="66"/>
      </w:tcPr>
    </w:tblStylePr>
    <w:tblStylePr w:type="band1Horz">
      <w:tblPr/>
      <w:tcPr>
        <w:shd w:val="clear" w:color="auto" w:fill="E5B8B7" w:themeFill="accent2" w:themeFillTint="66"/>
      </w:tcPr>
    </w:tblStylePr>
  </w:style>
  <w:style w:type="table" w:styleId="GridTable5Dark-Accent3">
    <w:name w:val="Grid Table 5 Dark Accent 3"/>
    <w:basedOn w:val="TableNormal"/>
    <w:uiPriority w:val="99"/>
    <w:rsid w:val="007376B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AF1D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BBB59"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BBB59"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BBB59"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BBB59" w:themeFill="accent3"/>
      </w:tcPr>
    </w:tblStylePr>
    <w:tblStylePr w:type="band1Vert">
      <w:tblPr/>
      <w:tcPr>
        <w:shd w:val="clear" w:color="auto" w:fill="D6E3BC" w:themeFill="accent3" w:themeFillTint="66"/>
      </w:tcPr>
    </w:tblStylePr>
    <w:tblStylePr w:type="band1Horz">
      <w:tblPr/>
      <w:tcPr>
        <w:shd w:val="clear" w:color="auto" w:fill="D6E3BC" w:themeFill="accent3" w:themeFillTint="66"/>
      </w:tcPr>
    </w:tblStylePr>
  </w:style>
  <w:style w:type="table" w:styleId="GridTable5Dark-Accent4">
    <w:name w:val="Grid Table 5 Dark Accent 4"/>
    <w:basedOn w:val="TableNormal"/>
    <w:uiPriority w:val="99"/>
    <w:rsid w:val="007376B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5DFE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064A2"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064A2"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064A2"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064A2" w:themeFill="accent4"/>
      </w:tcPr>
    </w:tblStylePr>
    <w:tblStylePr w:type="band1Vert">
      <w:tblPr/>
      <w:tcPr>
        <w:shd w:val="clear" w:color="auto" w:fill="CCC0D9" w:themeFill="accent4" w:themeFillTint="66"/>
      </w:tcPr>
    </w:tblStylePr>
    <w:tblStylePr w:type="band1Horz">
      <w:tblPr/>
      <w:tcPr>
        <w:shd w:val="clear" w:color="auto" w:fill="CCC0D9" w:themeFill="accent4" w:themeFillTint="66"/>
      </w:tcPr>
    </w:tblStylePr>
  </w:style>
  <w:style w:type="table" w:styleId="GridTable5Dark-Accent5">
    <w:name w:val="Grid Table 5 Dark Accent 5"/>
    <w:basedOn w:val="TableNormal"/>
    <w:uiPriority w:val="99"/>
    <w:rsid w:val="007376B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table" w:styleId="GridTable5Dark-Accent6">
    <w:name w:val="Grid Table 5 Dark Accent 6"/>
    <w:basedOn w:val="TableNormal"/>
    <w:uiPriority w:val="99"/>
    <w:rsid w:val="007376B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DE9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79646"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79646"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79646"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79646" w:themeFill="accent6"/>
      </w:tcPr>
    </w:tblStylePr>
    <w:tblStylePr w:type="band1Vert">
      <w:tblPr/>
      <w:tcPr>
        <w:shd w:val="clear" w:color="auto" w:fill="FBD4B4" w:themeFill="accent6" w:themeFillTint="66"/>
      </w:tcPr>
    </w:tblStylePr>
    <w:tblStylePr w:type="band1Horz">
      <w:tblPr/>
      <w:tcPr>
        <w:shd w:val="clear" w:color="auto" w:fill="FBD4B4" w:themeFill="accent6" w:themeFillTint="66"/>
      </w:tcPr>
    </w:tblStylePr>
  </w:style>
  <w:style w:type="table" w:styleId="GridTable6Colorful">
    <w:name w:val="Grid Table 6 Colorful"/>
    <w:basedOn w:val="TableNormal"/>
    <w:uiPriority w:val="99"/>
    <w:rsid w:val="007376B6"/>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6Colorful-Accent1">
    <w:name w:val="Grid Table 6 Colorful Accent 1"/>
    <w:basedOn w:val="TableNormal"/>
    <w:uiPriority w:val="99"/>
    <w:rsid w:val="007376B6"/>
    <w:pPr>
      <w:spacing w:after="0" w:line="240" w:lineRule="auto"/>
    </w:pPr>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ridTable6Colorful-Accent2">
    <w:name w:val="Grid Table 6 Colorful Accent 2"/>
    <w:basedOn w:val="TableNormal"/>
    <w:uiPriority w:val="99"/>
    <w:rsid w:val="007376B6"/>
    <w:pPr>
      <w:spacing w:after="0" w:line="240" w:lineRule="auto"/>
    </w:pPr>
    <w:rPr>
      <w:color w:val="943634" w:themeColor="accent2" w:themeShade="BF"/>
    </w:r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GridTable6Colorful-Accent3">
    <w:name w:val="Grid Table 6 Colorful Accent 3"/>
    <w:basedOn w:val="TableNormal"/>
    <w:uiPriority w:val="99"/>
    <w:rsid w:val="007376B6"/>
    <w:pPr>
      <w:spacing w:after="0" w:line="240" w:lineRule="auto"/>
    </w:pPr>
    <w:rPr>
      <w:color w:val="76923C" w:themeColor="accent3" w:themeShade="BF"/>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bottom w:val="single" w:sz="12" w:space="0" w:color="C2D69B" w:themeColor="accent3" w:themeTint="99"/>
        </w:tcBorders>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GridTable6Colorful-Accent4">
    <w:name w:val="Grid Table 6 Colorful Accent 4"/>
    <w:basedOn w:val="TableNormal"/>
    <w:uiPriority w:val="99"/>
    <w:rsid w:val="007376B6"/>
    <w:pPr>
      <w:spacing w:after="0" w:line="240" w:lineRule="auto"/>
    </w:pPr>
    <w:rPr>
      <w:color w:val="5F497A" w:themeColor="accent4" w:themeShade="BF"/>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bottom w:val="single" w:sz="12" w:space="0" w:color="B2A1C7" w:themeColor="accent4" w:themeTint="99"/>
        </w:tcBorders>
      </w:tcPr>
    </w:tblStylePr>
    <w:tblStylePr w:type="lastRow">
      <w:rPr>
        <w:b/>
        <w:bCs/>
      </w:rPr>
      <w:tblPr/>
      <w:tcPr>
        <w:tcBorders>
          <w:top w:val="doub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GridTable6Colorful-Accent5">
    <w:name w:val="Grid Table 6 Colorful Accent 5"/>
    <w:basedOn w:val="TableNormal"/>
    <w:uiPriority w:val="99"/>
    <w:rsid w:val="007376B6"/>
    <w:pPr>
      <w:spacing w:after="0" w:line="240" w:lineRule="auto"/>
    </w:pPr>
    <w:rPr>
      <w:color w:val="31849B" w:themeColor="accent5" w:themeShade="BF"/>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GridTable6Colorful-Accent6">
    <w:name w:val="Grid Table 6 Colorful Accent 6"/>
    <w:basedOn w:val="TableNormal"/>
    <w:uiPriority w:val="99"/>
    <w:rsid w:val="007376B6"/>
    <w:pPr>
      <w:spacing w:after="0" w:line="240" w:lineRule="auto"/>
    </w:pPr>
    <w:rPr>
      <w:color w:val="E36C0A" w:themeColor="accent6" w:themeShade="BF"/>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bottom w:val="single" w:sz="12" w:space="0" w:color="FABF8F" w:themeColor="accent6" w:themeTint="99"/>
        </w:tcBorders>
      </w:tcPr>
    </w:tblStylePr>
    <w:tblStylePr w:type="lastRow">
      <w:rPr>
        <w:b/>
        <w:bCs/>
      </w:rPr>
      <w:tblPr/>
      <w:tcPr>
        <w:tcBorders>
          <w:top w:val="doub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GridTable7Colorful">
    <w:name w:val="Grid Table 7 Colorful"/>
    <w:basedOn w:val="TableNormal"/>
    <w:uiPriority w:val="99"/>
    <w:rsid w:val="007376B6"/>
    <w:pPr>
      <w:spacing w:after="0" w:line="240" w:lineRule="auto"/>
    </w:pPr>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ridTable7Colorful-Accent1">
    <w:name w:val="Grid Table 7 Colorful Accent 1"/>
    <w:basedOn w:val="TableNormal"/>
    <w:uiPriority w:val="99"/>
    <w:rsid w:val="007376B6"/>
    <w:pPr>
      <w:spacing w:after="0" w:line="240" w:lineRule="auto"/>
    </w:pPr>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bottom w:val="single" w:sz="4" w:space="0" w:color="95B3D7" w:themeColor="accent1" w:themeTint="99"/>
        </w:tcBorders>
      </w:tcPr>
    </w:tblStylePr>
    <w:tblStylePr w:type="nwCell">
      <w:tblPr/>
      <w:tcPr>
        <w:tcBorders>
          <w:bottom w:val="single" w:sz="4" w:space="0" w:color="95B3D7" w:themeColor="accent1" w:themeTint="99"/>
        </w:tcBorders>
      </w:tcPr>
    </w:tblStylePr>
    <w:tblStylePr w:type="seCell">
      <w:tblPr/>
      <w:tcPr>
        <w:tcBorders>
          <w:top w:val="single" w:sz="4" w:space="0" w:color="95B3D7" w:themeColor="accent1" w:themeTint="99"/>
        </w:tcBorders>
      </w:tcPr>
    </w:tblStylePr>
    <w:tblStylePr w:type="swCell">
      <w:tblPr/>
      <w:tcPr>
        <w:tcBorders>
          <w:top w:val="single" w:sz="4" w:space="0" w:color="95B3D7" w:themeColor="accent1" w:themeTint="99"/>
        </w:tcBorders>
      </w:tcPr>
    </w:tblStylePr>
  </w:style>
  <w:style w:type="table" w:styleId="GridTable7Colorful-Accent2">
    <w:name w:val="Grid Table 7 Colorful Accent 2"/>
    <w:basedOn w:val="TableNormal"/>
    <w:uiPriority w:val="99"/>
    <w:rsid w:val="007376B6"/>
    <w:pPr>
      <w:spacing w:after="0" w:line="240" w:lineRule="auto"/>
    </w:pPr>
    <w:rPr>
      <w:color w:val="943634" w:themeColor="accent2" w:themeShade="BF"/>
    </w:r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insideV w:val="single" w:sz="4" w:space="0" w:color="D9959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bottom w:val="single" w:sz="4" w:space="0" w:color="D99594" w:themeColor="accent2" w:themeTint="99"/>
        </w:tcBorders>
      </w:tcPr>
    </w:tblStylePr>
    <w:tblStylePr w:type="nwCell">
      <w:tblPr/>
      <w:tcPr>
        <w:tcBorders>
          <w:bottom w:val="single" w:sz="4" w:space="0" w:color="D99594" w:themeColor="accent2" w:themeTint="99"/>
        </w:tcBorders>
      </w:tcPr>
    </w:tblStylePr>
    <w:tblStylePr w:type="seCell">
      <w:tblPr/>
      <w:tcPr>
        <w:tcBorders>
          <w:top w:val="single" w:sz="4" w:space="0" w:color="D99594" w:themeColor="accent2" w:themeTint="99"/>
        </w:tcBorders>
      </w:tcPr>
    </w:tblStylePr>
    <w:tblStylePr w:type="swCell">
      <w:tblPr/>
      <w:tcPr>
        <w:tcBorders>
          <w:top w:val="single" w:sz="4" w:space="0" w:color="D99594" w:themeColor="accent2" w:themeTint="99"/>
        </w:tcBorders>
      </w:tcPr>
    </w:tblStylePr>
  </w:style>
  <w:style w:type="table" w:styleId="GridTable7Colorful-Accent3">
    <w:name w:val="Grid Table 7 Colorful Accent 3"/>
    <w:basedOn w:val="TableNormal"/>
    <w:uiPriority w:val="99"/>
    <w:rsid w:val="007376B6"/>
    <w:pPr>
      <w:spacing w:after="0" w:line="240" w:lineRule="auto"/>
    </w:pPr>
    <w:rPr>
      <w:color w:val="76923C" w:themeColor="accent3" w:themeShade="BF"/>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bottom w:val="single" w:sz="4" w:space="0" w:color="C2D69B" w:themeColor="accent3" w:themeTint="99"/>
        </w:tcBorders>
      </w:tcPr>
    </w:tblStylePr>
    <w:tblStylePr w:type="nwCell">
      <w:tblPr/>
      <w:tcPr>
        <w:tcBorders>
          <w:bottom w:val="single" w:sz="4" w:space="0" w:color="C2D69B" w:themeColor="accent3" w:themeTint="99"/>
        </w:tcBorders>
      </w:tcPr>
    </w:tblStylePr>
    <w:tblStylePr w:type="seCell">
      <w:tblPr/>
      <w:tcPr>
        <w:tcBorders>
          <w:top w:val="single" w:sz="4" w:space="0" w:color="C2D69B" w:themeColor="accent3" w:themeTint="99"/>
        </w:tcBorders>
      </w:tcPr>
    </w:tblStylePr>
    <w:tblStylePr w:type="swCell">
      <w:tblPr/>
      <w:tcPr>
        <w:tcBorders>
          <w:top w:val="single" w:sz="4" w:space="0" w:color="C2D69B" w:themeColor="accent3" w:themeTint="99"/>
        </w:tcBorders>
      </w:tcPr>
    </w:tblStylePr>
  </w:style>
  <w:style w:type="table" w:styleId="GridTable7Colorful-Accent4">
    <w:name w:val="Grid Table 7 Colorful Accent 4"/>
    <w:basedOn w:val="TableNormal"/>
    <w:uiPriority w:val="99"/>
    <w:rsid w:val="007376B6"/>
    <w:pPr>
      <w:spacing w:after="0" w:line="240" w:lineRule="auto"/>
    </w:pPr>
    <w:rPr>
      <w:color w:val="5F497A" w:themeColor="accent4" w:themeShade="BF"/>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bottom w:val="single" w:sz="4" w:space="0" w:color="B2A1C7" w:themeColor="accent4" w:themeTint="99"/>
        </w:tcBorders>
      </w:tcPr>
    </w:tblStylePr>
    <w:tblStylePr w:type="nwCell">
      <w:tblPr/>
      <w:tcPr>
        <w:tcBorders>
          <w:bottom w:val="single" w:sz="4" w:space="0" w:color="B2A1C7" w:themeColor="accent4" w:themeTint="99"/>
        </w:tcBorders>
      </w:tcPr>
    </w:tblStylePr>
    <w:tblStylePr w:type="seCell">
      <w:tblPr/>
      <w:tcPr>
        <w:tcBorders>
          <w:top w:val="single" w:sz="4" w:space="0" w:color="B2A1C7" w:themeColor="accent4" w:themeTint="99"/>
        </w:tcBorders>
      </w:tcPr>
    </w:tblStylePr>
    <w:tblStylePr w:type="swCell">
      <w:tblPr/>
      <w:tcPr>
        <w:tcBorders>
          <w:top w:val="single" w:sz="4" w:space="0" w:color="B2A1C7" w:themeColor="accent4" w:themeTint="99"/>
        </w:tcBorders>
      </w:tcPr>
    </w:tblStylePr>
  </w:style>
  <w:style w:type="table" w:styleId="GridTable7Colorful-Accent5">
    <w:name w:val="Grid Table 7 Colorful Accent 5"/>
    <w:basedOn w:val="TableNormal"/>
    <w:uiPriority w:val="99"/>
    <w:rsid w:val="007376B6"/>
    <w:pPr>
      <w:spacing w:after="0" w:line="240" w:lineRule="auto"/>
    </w:pPr>
    <w:rPr>
      <w:color w:val="31849B" w:themeColor="accent5" w:themeShade="BF"/>
    </w:r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bottom w:val="single" w:sz="4" w:space="0" w:color="92CDDC" w:themeColor="accent5" w:themeTint="99"/>
        </w:tcBorders>
      </w:tcPr>
    </w:tblStylePr>
    <w:tblStylePr w:type="nwCell">
      <w:tblPr/>
      <w:tcPr>
        <w:tcBorders>
          <w:bottom w:val="single" w:sz="4" w:space="0" w:color="92CDDC" w:themeColor="accent5" w:themeTint="99"/>
        </w:tcBorders>
      </w:tcPr>
    </w:tblStylePr>
    <w:tblStylePr w:type="seCell">
      <w:tblPr/>
      <w:tcPr>
        <w:tcBorders>
          <w:top w:val="single" w:sz="4" w:space="0" w:color="92CDDC" w:themeColor="accent5" w:themeTint="99"/>
        </w:tcBorders>
      </w:tcPr>
    </w:tblStylePr>
    <w:tblStylePr w:type="swCell">
      <w:tblPr/>
      <w:tcPr>
        <w:tcBorders>
          <w:top w:val="single" w:sz="4" w:space="0" w:color="92CDDC" w:themeColor="accent5" w:themeTint="99"/>
        </w:tcBorders>
      </w:tcPr>
    </w:tblStylePr>
  </w:style>
  <w:style w:type="table" w:styleId="GridTable7Colorful-Accent6">
    <w:name w:val="Grid Table 7 Colorful Accent 6"/>
    <w:basedOn w:val="TableNormal"/>
    <w:uiPriority w:val="99"/>
    <w:rsid w:val="007376B6"/>
    <w:pPr>
      <w:spacing w:after="0" w:line="240" w:lineRule="auto"/>
    </w:pPr>
    <w:rPr>
      <w:color w:val="E36C0A" w:themeColor="accent6" w:themeShade="BF"/>
    </w:r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bottom w:val="single" w:sz="4" w:space="0" w:color="FABF8F" w:themeColor="accent6" w:themeTint="99"/>
        </w:tcBorders>
      </w:tcPr>
    </w:tblStylePr>
    <w:tblStylePr w:type="nwCell">
      <w:tblPr/>
      <w:tcPr>
        <w:tcBorders>
          <w:bottom w:val="single" w:sz="4" w:space="0" w:color="FABF8F" w:themeColor="accent6" w:themeTint="99"/>
        </w:tcBorders>
      </w:tcPr>
    </w:tblStylePr>
    <w:tblStylePr w:type="seCell">
      <w:tblPr/>
      <w:tcPr>
        <w:tcBorders>
          <w:top w:val="single" w:sz="4" w:space="0" w:color="FABF8F" w:themeColor="accent6" w:themeTint="99"/>
        </w:tcBorders>
      </w:tcPr>
    </w:tblStylePr>
    <w:tblStylePr w:type="swCell">
      <w:tblPr/>
      <w:tcPr>
        <w:tcBorders>
          <w:top w:val="single" w:sz="4" w:space="0" w:color="FABF8F" w:themeColor="accent6" w:themeTint="99"/>
        </w:tcBorders>
      </w:tcPr>
    </w:tblStylePr>
  </w:style>
  <w:style w:type="character" w:customStyle="1" w:styleId="Hashtag1">
    <w:name w:val="Hashtag1"/>
    <w:basedOn w:val="DefaultParagraphFont"/>
    <w:uiPriority w:val="99"/>
    <w:semiHidden/>
    <w:unhideWhenUsed/>
    <w:rsid w:val="007376B6"/>
    <w:rPr>
      <w:color w:val="2B579A"/>
      <w:shd w:val="clear" w:color="auto" w:fill="E1DFDD"/>
    </w:rPr>
  </w:style>
  <w:style w:type="table" w:styleId="LightGrid">
    <w:name w:val="Light Grid"/>
    <w:basedOn w:val="TableNormal"/>
    <w:uiPriority w:val="99"/>
    <w:semiHidden/>
    <w:unhideWhenUsed/>
    <w:rsid w:val="007376B6"/>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99"/>
    <w:semiHidden/>
    <w:unhideWhenUsed/>
    <w:rsid w:val="007376B6"/>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Grid-Accent2">
    <w:name w:val="Light Grid Accent 2"/>
    <w:basedOn w:val="TableNormal"/>
    <w:uiPriority w:val="99"/>
    <w:semiHidden/>
    <w:unhideWhenUsed/>
    <w:rsid w:val="007376B6"/>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ghtGrid-Accent3">
    <w:name w:val="Light Grid Accent 3"/>
    <w:basedOn w:val="TableNormal"/>
    <w:uiPriority w:val="99"/>
    <w:semiHidden/>
    <w:unhideWhenUsed/>
    <w:rsid w:val="007376B6"/>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ghtGrid-Accent4">
    <w:name w:val="Light Grid Accent 4"/>
    <w:basedOn w:val="TableNormal"/>
    <w:uiPriority w:val="99"/>
    <w:semiHidden/>
    <w:unhideWhenUsed/>
    <w:rsid w:val="007376B6"/>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ghtGrid-Accent5">
    <w:name w:val="Light Grid Accent 5"/>
    <w:basedOn w:val="TableNormal"/>
    <w:uiPriority w:val="99"/>
    <w:semiHidden/>
    <w:unhideWhenUsed/>
    <w:rsid w:val="007376B6"/>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ghtGrid-Accent6">
    <w:name w:val="Light Grid Accent 6"/>
    <w:basedOn w:val="TableNormal"/>
    <w:uiPriority w:val="99"/>
    <w:semiHidden/>
    <w:unhideWhenUsed/>
    <w:rsid w:val="007376B6"/>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LightList">
    <w:name w:val="Light List"/>
    <w:basedOn w:val="TableNormal"/>
    <w:uiPriority w:val="99"/>
    <w:semiHidden/>
    <w:unhideWhenUsed/>
    <w:rsid w:val="007376B6"/>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99"/>
    <w:semiHidden/>
    <w:unhideWhenUsed/>
    <w:rsid w:val="007376B6"/>
    <w:pPr>
      <w:spacing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List-Accent2">
    <w:name w:val="Light List Accent 2"/>
    <w:basedOn w:val="TableNormal"/>
    <w:uiPriority w:val="99"/>
    <w:semiHidden/>
    <w:unhideWhenUsed/>
    <w:rsid w:val="007376B6"/>
    <w:pPr>
      <w:spacing w:after="0" w:line="240" w:lineRule="auto"/>
    </w:p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List-Accent3">
    <w:name w:val="Light List Accent 3"/>
    <w:basedOn w:val="TableNormal"/>
    <w:uiPriority w:val="99"/>
    <w:semiHidden/>
    <w:unhideWhenUsed/>
    <w:rsid w:val="007376B6"/>
    <w:pPr>
      <w:spacing w:after="0" w:line="240" w:lineRule="auto"/>
    </w:p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List-Accent4">
    <w:name w:val="Light List Accent 4"/>
    <w:basedOn w:val="TableNormal"/>
    <w:uiPriority w:val="99"/>
    <w:semiHidden/>
    <w:unhideWhenUsed/>
    <w:rsid w:val="007376B6"/>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ghtList-Accent5">
    <w:name w:val="Light List Accent 5"/>
    <w:basedOn w:val="TableNormal"/>
    <w:uiPriority w:val="99"/>
    <w:semiHidden/>
    <w:unhideWhenUsed/>
    <w:rsid w:val="007376B6"/>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List-Accent6">
    <w:name w:val="Light List Accent 6"/>
    <w:basedOn w:val="TableNormal"/>
    <w:uiPriority w:val="99"/>
    <w:semiHidden/>
    <w:unhideWhenUsed/>
    <w:rsid w:val="007376B6"/>
    <w:pPr>
      <w:spacing w:after="0" w:line="240" w:lineRule="auto"/>
    </w:p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Shading">
    <w:name w:val="Light Shading"/>
    <w:basedOn w:val="TableNormal"/>
    <w:uiPriority w:val="99"/>
    <w:semiHidden/>
    <w:unhideWhenUsed/>
    <w:rsid w:val="007376B6"/>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99"/>
    <w:semiHidden/>
    <w:unhideWhenUsed/>
    <w:rsid w:val="007376B6"/>
    <w:pPr>
      <w:spacing w:after="0" w:line="240" w:lineRule="auto"/>
    </w:pPr>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99"/>
    <w:semiHidden/>
    <w:unhideWhenUsed/>
    <w:rsid w:val="007376B6"/>
    <w:pPr>
      <w:spacing w:after="0" w:line="240" w:lineRule="auto"/>
    </w:pPr>
    <w:rPr>
      <w:color w:val="943634" w:themeColor="accent2" w:themeShade="BF"/>
    </w:rPr>
    <w:tblPr>
      <w:tblStyleRowBandSize w:val="1"/>
      <w:tblStyleColBandSize w:val="1"/>
      <w:tblBorders>
        <w:top w:val="single" w:sz="8" w:space="0" w:color="C0504D" w:themeColor="accent2"/>
        <w:bottom w:val="single" w:sz="8" w:space="0" w:color="C0504D" w:themeColor="accent2"/>
      </w:tblBorders>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99"/>
    <w:semiHidden/>
    <w:unhideWhenUsed/>
    <w:rsid w:val="007376B6"/>
    <w:pPr>
      <w:spacing w:after="0" w:line="240" w:lineRule="auto"/>
    </w:pPr>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Shading-Accent4">
    <w:name w:val="Light Shading Accent 4"/>
    <w:basedOn w:val="TableNormal"/>
    <w:uiPriority w:val="99"/>
    <w:semiHidden/>
    <w:unhideWhenUsed/>
    <w:rsid w:val="007376B6"/>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Shading-Accent5">
    <w:name w:val="Light Shading Accent 5"/>
    <w:basedOn w:val="TableNormal"/>
    <w:uiPriority w:val="99"/>
    <w:semiHidden/>
    <w:unhideWhenUsed/>
    <w:rsid w:val="007376B6"/>
    <w:pPr>
      <w:spacing w:after="0" w:line="240" w:lineRule="auto"/>
    </w:pPr>
    <w:rPr>
      <w:color w:val="31849B" w:themeColor="accent5" w:themeShade="BF"/>
    </w:rPr>
    <w:tblPr>
      <w:tblStyleRowBandSize w:val="1"/>
      <w:tblStyleColBandSize w:val="1"/>
      <w:tblBorders>
        <w:top w:val="single" w:sz="8" w:space="0" w:color="4BACC6" w:themeColor="accent5"/>
        <w:bottom w:val="single" w:sz="8" w:space="0" w:color="4BACC6" w:themeColor="accent5"/>
      </w:tblBorders>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Shading-Accent6">
    <w:name w:val="Light Shading Accent 6"/>
    <w:basedOn w:val="TableNormal"/>
    <w:uiPriority w:val="99"/>
    <w:semiHidden/>
    <w:unhideWhenUsed/>
    <w:rsid w:val="007376B6"/>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ListTable1Light">
    <w:name w:val="List Table 1 Light"/>
    <w:basedOn w:val="TableNormal"/>
    <w:uiPriority w:val="99"/>
    <w:rsid w:val="007376B6"/>
    <w:pPr>
      <w:spacing w:after="0" w:line="240" w:lineRule="auto"/>
    </w:p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1Light-Accent1">
    <w:name w:val="List Table 1 Light Accent 1"/>
    <w:basedOn w:val="TableNormal"/>
    <w:uiPriority w:val="99"/>
    <w:rsid w:val="007376B6"/>
    <w:pPr>
      <w:spacing w:after="0" w:line="240" w:lineRule="auto"/>
    </w:pPr>
    <w:tblPr>
      <w:tblStyleRowBandSize w:val="1"/>
      <w:tblStyleColBandSize w:val="1"/>
    </w:tblPr>
    <w:tblStylePr w:type="firstRow">
      <w:rPr>
        <w:b/>
        <w:bCs/>
      </w:rPr>
      <w:tblPr/>
      <w:tcPr>
        <w:tcBorders>
          <w:bottom w:val="single" w:sz="4" w:space="0" w:color="95B3D7" w:themeColor="accent1" w:themeTint="99"/>
        </w:tcBorders>
      </w:tcPr>
    </w:tblStylePr>
    <w:tblStylePr w:type="lastRow">
      <w:rPr>
        <w:b/>
        <w:bCs/>
      </w:rPr>
      <w:tblPr/>
      <w:tcPr>
        <w:tcBorders>
          <w:top w:val="sing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Table1Light-Accent2">
    <w:name w:val="List Table 1 Light Accent 2"/>
    <w:basedOn w:val="TableNormal"/>
    <w:uiPriority w:val="99"/>
    <w:rsid w:val="007376B6"/>
    <w:pPr>
      <w:spacing w:after="0" w:line="240" w:lineRule="auto"/>
    </w:pPr>
    <w:tblPr>
      <w:tblStyleRowBandSize w:val="1"/>
      <w:tblStyleColBandSize w:val="1"/>
    </w:tblPr>
    <w:tblStylePr w:type="firstRow">
      <w:rPr>
        <w:b/>
        <w:bCs/>
      </w:rPr>
      <w:tblPr/>
      <w:tcPr>
        <w:tcBorders>
          <w:bottom w:val="single" w:sz="4" w:space="0" w:color="D99594" w:themeColor="accent2" w:themeTint="99"/>
        </w:tcBorders>
      </w:tcPr>
    </w:tblStylePr>
    <w:tblStylePr w:type="lastRow">
      <w:rPr>
        <w:b/>
        <w:bCs/>
      </w:rPr>
      <w:tblPr/>
      <w:tcPr>
        <w:tcBorders>
          <w:top w:val="sing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Table1Light-Accent3">
    <w:name w:val="List Table 1 Light Accent 3"/>
    <w:basedOn w:val="TableNormal"/>
    <w:uiPriority w:val="99"/>
    <w:rsid w:val="007376B6"/>
    <w:pPr>
      <w:spacing w:after="0" w:line="240" w:lineRule="auto"/>
    </w:pPr>
    <w:tblPr>
      <w:tblStyleRowBandSize w:val="1"/>
      <w:tblStyleColBandSize w:val="1"/>
    </w:tblPr>
    <w:tblStylePr w:type="firstRow">
      <w:rPr>
        <w:b/>
        <w:bCs/>
      </w:rPr>
      <w:tblPr/>
      <w:tcPr>
        <w:tcBorders>
          <w:bottom w:val="single" w:sz="4" w:space="0" w:color="C2D69B" w:themeColor="accent3" w:themeTint="99"/>
        </w:tcBorders>
      </w:tcPr>
    </w:tblStylePr>
    <w:tblStylePr w:type="lastRow">
      <w:rPr>
        <w:b/>
        <w:bCs/>
      </w:rPr>
      <w:tblPr/>
      <w:tcPr>
        <w:tcBorders>
          <w:top w:val="sing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Table1Light-Accent4">
    <w:name w:val="List Table 1 Light Accent 4"/>
    <w:basedOn w:val="TableNormal"/>
    <w:uiPriority w:val="99"/>
    <w:rsid w:val="007376B6"/>
    <w:pPr>
      <w:spacing w:after="0" w:line="240" w:lineRule="auto"/>
    </w:pPr>
    <w:tblPr>
      <w:tblStyleRowBandSize w:val="1"/>
      <w:tblStyleColBandSize w:val="1"/>
    </w:tblPr>
    <w:tblStylePr w:type="firstRow">
      <w:rPr>
        <w:b/>
        <w:bCs/>
      </w:rPr>
      <w:tblPr/>
      <w:tcPr>
        <w:tcBorders>
          <w:bottom w:val="single" w:sz="4" w:space="0" w:color="B2A1C7" w:themeColor="accent4" w:themeTint="99"/>
        </w:tcBorders>
      </w:tcPr>
    </w:tblStylePr>
    <w:tblStylePr w:type="lastRow">
      <w:rPr>
        <w:b/>
        <w:bCs/>
      </w:rPr>
      <w:tblPr/>
      <w:tcPr>
        <w:tcBorders>
          <w:top w:val="sing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Table1Light-Accent5">
    <w:name w:val="List Table 1 Light Accent 5"/>
    <w:basedOn w:val="TableNormal"/>
    <w:uiPriority w:val="99"/>
    <w:rsid w:val="007376B6"/>
    <w:pPr>
      <w:spacing w:after="0" w:line="240" w:lineRule="auto"/>
    </w:pPr>
    <w:tblPr>
      <w:tblStyleRowBandSize w:val="1"/>
      <w:tblStyleColBandSize w:val="1"/>
    </w:tblPr>
    <w:tblStylePr w:type="firstRow">
      <w:rPr>
        <w:b/>
        <w:bCs/>
      </w:rPr>
      <w:tblPr/>
      <w:tcPr>
        <w:tcBorders>
          <w:bottom w:val="single" w:sz="4" w:space="0" w:color="92CDDC" w:themeColor="accent5" w:themeTint="99"/>
        </w:tcBorders>
      </w:tcPr>
    </w:tblStylePr>
    <w:tblStylePr w:type="lastRow">
      <w:rPr>
        <w:b/>
        <w:bCs/>
      </w:rPr>
      <w:tblPr/>
      <w:tcPr>
        <w:tcBorders>
          <w:top w:val="sing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Table1Light-Accent6">
    <w:name w:val="List Table 1 Light Accent 6"/>
    <w:basedOn w:val="TableNormal"/>
    <w:uiPriority w:val="99"/>
    <w:rsid w:val="007376B6"/>
    <w:pPr>
      <w:spacing w:after="0" w:line="240" w:lineRule="auto"/>
    </w:pPr>
    <w:tblPr>
      <w:tblStyleRowBandSize w:val="1"/>
      <w:tblStyleColBandSize w:val="1"/>
    </w:tblPr>
    <w:tblStylePr w:type="firstRow">
      <w:rPr>
        <w:b/>
        <w:bCs/>
      </w:rPr>
      <w:tblPr/>
      <w:tcPr>
        <w:tcBorders>
          <w:bottom w:val="single" w:sz="4" w:space="0" w:color="FABF8F" w:themeColor="accent6" w:themeTint="99"/>
        </w:tcBorders>
      </w:tcPr>
    </w:tblStylePr>
    <w:tblStylePr w:type="lastRow">
      <w:rPr>
        <w:b/>
        <w:bCs/>
      </w:rPr>
      <w:tblPr/>
      <w:tcPr>
        <w:tcBorders>
          <w:top w:val="sing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stTable2">
    <w:name w:val="List Table 2"/>
    <w:basedOn w:val="TableNormal"/>
    <w:uiPriority w:val="99"/>
    <w:rsid w:val="007376B6"/>
    <w:pPr>
      <w:spacing w:after="0" w:line="240" w:lineRule="auto"/>
    </w:p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2-Accent1">
    <w:name w:val="List Table 2 Accent 1"/>
    <w:basedOn w:val="TableNormal"/>
    <w:uiPriority w:val="99"/>
    <w:rsid w:val="007376B6"/>
    <w:pPr>
      <w:spacing w:after="0" w:line="240" w:lineRule="auto"/>
    </w:pPr>
    <w:tblPr>
      <w:tblStyleRowBandSize w:val="1"/>
      <w:tblStyleColBandSize w:val="1"/>
      <w:tblBorders>
        <w:top w:val="single" w:sz="4" w:space="0" w:color="95B3D7" w:themeColor="accent1" w:themeTint="99"/>
        <w:bottom w:val="single" w:sz="4" w:space="0" w:color="95B3D7" w:themeColor="accent1" w:themeTint="99"/>
        <w:insideH w:val="single" w:sz="4" w:space="0" w:color="95B3D7"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Table2-Accent2">
    <w:name w:val="List Table 2 Accent 2"/>
    <w:basedOn w:val="TableNormal"/>
    <w:uiPriority w:val="99"/>
    <w:rsid w:val="007376B6"/>
    <w:pPr>
      <w:spacing w:after="0" w:line="240" w:lineRule="auto"/>
    </w:pPr>
    <w:tblPr>
      <w:tblStyleRowBandSize w:val="1"/>
      <w:tblStyleColBandSize w:val="1"/>
      <w:tblBorders>
        <w:top w:val="single" w:sz="4" w:space="0" w:color="D99594" w:themeColor="accent2" w:themeTint="99"/>
        <w:bottom w:val="single" w:sz="4" w:space="0" w:color="D99594" w:themeColor="accent2" w:themeTint="99"/>
        <w:insideH w:val="single" w:sz="4" w:space="0" w:color="D99594"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Table2-Accent3">
    <w:name w:val="List Table 2 Accent 3"/>
    <w:basedOn w:val="TableNormal"/>
    <w:uiPriority w:val="99"/>
    <w:rsid w:val="007376B6"/>
    <w:pPr>
      <w:spacing w:after="0" w:line="240" w:lineRule="auto"/>
    </w:pPr>
    <w:tblPr>
      <w:tblStyleRowBandSize w:val="1"/>
      <w:tblStyleColBandSize w:val="1"/>
      <w:tblBorders>
        <w:top w:val="single" w:sz="4" w:space="0" w:color="C2D69B" w:themeColor="accent3" w:themeTint="99"/>
        <w:bottom w:val="single" w:sz="4" w:space="0" w:color="C2D69B" w:themeColor="accent3" w:themeTint="99"/>
        <w:insideH w:val="single" w:sz="4" w:space="0" w:color="C2D69B"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Table2-Accent4">
    <w:name w:val="List Table 2 Accent 4"/>
    <w:basedOn w:val="TableNormal"/>
    <w:uiPriority w:val="99"/>
    <w:rsid w:val="007376B6"/>
    <w:pPr>
      <w:spacing w:after="0" w:line="240" w:lineRule="auto"/>
    </w:pPr>
    <w:tblPr>
      <w:tblStyleRowBandSize w:val="1"/>
      <w:tblStyleColBandSize w:val="1"/>
      <w:tblBorders>
        <w:top w:val="single" w:sz="4" w:space="0" w:color="B2A1C7" w:themeColor="accent4" w:themeTint="99"/>
        <w:bottom w:val="single" w:sz="4" w:space="0" w:color="B2A1C7" w:themeColor="accent4" w:themeTint="99"/>
        <w:insideH w:val="single" w:sz="4" w:space="0" w:color="B2A1C7"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Table2-Accent5">
    <w:name w:val="List Table 2 Accent 5"/>
    <w:basedOn w:val="TableNormal"/>
    <w:uiPriority w:val="99"/>
    <w:rsid w:val="007376B6"/>
    <w:pPr>
      <w:spacing w:after="0" w:line="240" w:lineRule="auto"/>
    </w:pPr>
    <w:tblPr>
      <w:tblStyleRowBandSize w:val="1"/>
      <w:tblStyleColBandSize w:val="1"/>
      <w:tblBorders>
        <w:top w:val="single" w:sz="4" w:space="0" w:color="92CDDC" w:themeColor="accent5" w:themeTint="99"/>
        <w:bottom w:val="single" w:sz="4" w:space="0" w:color="92CDDC" w:themeColor="accent5" w:themeTint="99"/>
        <w:insideH w:val="single" w:sz="4" w:space="0" w:color="92CDDC"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Table2-Accent6">
    <w:name w:val="List Table 2 Accent 6"/>
    <w:basedOn w:val="TableNormal"/>
    <w:uiPriority w:val="99"/>
    <w:rsid w:val="007376B6"/>
    <w:pPr>
      <w:spacing w:after="0" w:line="240" w:lineRule="auto"/>
    </w:pPr>
    <w:tblPr>
      <w:tblStyleRowBandSize w:val="1"/>
      <w:tblStyleColBandSize w:val="1"/>
      <w:tblBorders>
        <w:top w:val="single" w:sz="4" w:space="0" w:color="FABF8F" w:themeColor="accent6" w:themeTint="99"/>
        <w:bottom w:val="single" w:sz="4" w:space="0" w:color="FABF8F" w:themeColor="accent6" w:themeTint="99"/>
        <w:insideH w:val="single" w:sz="4" w:space="0" w:color="FABF8F"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stTable3">
    <w:name w:val="List Table 3"/>
    <w:basedOn w:val="TableNormal"/>
    <w:uiPriority w:val="99"/>
    <w:rsid w:val="007376B6"/>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ListTable3-Accent1">
    <w:name w:val="List Table 3 Accent 1"/>
    <w:basedOn w:val="TableNormal"/>
    <w:uiPriority w:val="99"/>
    <w:rsid w:val="007376B6"/>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table" w:styleId="ListTable3-Accent2">
    <w:name w:val="List Table 3 Accent 2"/>
    <w:basedOn w:val="TableNormal"/>
    <w:uiPriority w:val="99"/>
    <w:rsid w:val="007376B6"/>
    <w:pPr>
      <w:spacing w:after="0" w:line="240" w:lineRule="auto"/>
    </w:pPr>
    <w:tblPr>
      <w:tblStyleRowBandSize w:val="1"/>
      <w:tblStyleColBandSize w:val="1"/>
      <w:tblBorders>
        <w:top w:val="single" w:sz="4" w:space="0" w:color="C0504D" w:themeColor="accent2"/>
        <w:left w:val="single" w:sz="4" w:space="0" w:color="C0504D" w:themeColor="accent2"/>
        <w:bottom w:val="single" w:sz="4" w:space="0" w:color="C0504D" w:themeColor="accent2"/>
        <w:right w:val="single" w:sz="4" w:space="0" w:color="C0504D" w:themeColor="accent2"/>
      </w:tblBorders>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 w:type="table" w:styleId="ListTable3-Accent3">
    <w:name w:val="List Table 3 Accent 3"/>
    <w:basedOn w:val="TableNormal"/>
    <w:uiPriority w:val="99"/>
    <w:rsid w:val="007376B6"/>
    <w:pPr>
      <w:spacing w:after="0" w:line="240" w:lineRule="auto"/>
    </w:pPr>
    <w:tblPr>
      <w:tblStyleRowBandSize w:val="1"/>
      <w:tblStyleColBandSize w:val="1"/>
      <w:tblBorders>
        <w:top w:val="single" w:sz="4" w:space="0" w:color="9BBB59" w:themeColor="accent3"/>
        <w:left w:val="single" w:sz="4" w:space="0" w:color="9BBB59" w:themeColor="accent3"/>
        <w:bottom w:val="single" w:sz="4" w:space="0" w:color="9BBB59" w:themeColor="accent3"/>
        <w:right w:val="single" w:sz="4" w:space="0" w:color="9BBB59" w:themeColor="accent3"/>
      </w:tblBorders>
    </w:tblPr>
    <w:tblStylePr w:type="firstRow">
      <w:rPr>
        <w:b/>
        <w:bCs/>
        <w:color w:val="FFFFFF" w:themeColor="background1"/>
      </w:rPr>
      <w:tblPr/>
      <w:tcPr>
        <w:shd w:val="clear" w:color="auto" w:fill="9BBB59" w:themeFill="accent3"/>
      </w:tcPr>
    </w:tblStylePr>
    <w:tblStylePr w:type="lastRow">
      <w:rPr>
        <w:b/>
        <w:bCs/>
      </w:rPr>
      <w:tblPr/>
      <w:tcPr>
        <w:tcBorders>
          <w:top w:val="double" w:sz="4" w:space="0" w:color="9BBB59"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BBB59" w:themeColor="accent3"/>
          <w:right w:val="single" w:sz="4" w:space="0" w:color="9BBB59" w:themeColor="accent3"/>
        </w:tcBorders>
      </w:tcPr>
    </w:tblStylePr>
    <w:tblStylePr w:type="band1Horz">
      <w:tblPr/>
      <w:tcPr>
        <w:tcBorders>
          <w:top w:val="single" w:sz="4" w:space="0" w:color="9BBB59" w:themeColor="accent3"/>
          <w:bottom w:val="single" w:sz="4" w:space="0" w:color="9BBB59"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BBB59" w:themeColor="accent3"/>
          <w:left w:val="nil"/>
        </w:tcBorders>
      </w:tcPr>
    </w:tblStylePr>
    <w:tblStylePr w:type="swCell">
      <w:tblPr/>
      <w:tcPr>
        <w:tcBorders>
          <w:top w:val="double" w:sz="4" w:space="0" w:color="9BBB59" w:themeColor="accent3"/>
          <w:right w:val="nil"/>
        </w:tcBorders>
      </w:tcPr>
    </w:tblStylePr>
  </w:style>
  <w:style w:type="table" w:styleId="ListTable3-Accent4">
    <w:name w:val="List Table 3 Accent 4"/>
    <w:basedOn w:val="TableNormal"/>
    <w:uiPriority w:val="99"/>
    <w:rsid w:val="007376B6"/>
    <w:pPr>
      <w:spacing w:after="0" w:line="240" w:lineRule="auto"/>
    </w:pPr>
    <w:tblPr>
      <w:tblStyleRowBandSize w:val="1"/>
      <w:tblStyleColBandSize w:val="1"/>
      <w:tblBorders>
        <w:top w:val="single" w:sz="4" w:space="0" w:color="8064A2" w:themeColor="accent4"/>
        <w:left w:val="single" w:sz="4" w:space="0" w:color="8064A2" w:themeColor="accent4"/>
        <w:bottom w:val="single" w:sz="4" w:space="0" w:color="8064A2" w:themeColor="accent4"/>
        <w:right w:val="single" w:sz="4" w:space="0" w:color="8064A2" w:themeColor="accent4"/>
      </w:tblBorders>
    </w:tblPr>
    <w:tblStylePr w:type="firstRow">
      <w:rPr>
        <w:b/>
        <w:bCs/>
        <w:color w:val="FFFFFF" w:themeColor="background1"/>
      </w:rPr>
      <w:tblPr/>
      <w:tcPr>
        <w:shd w:val="clear" w:color="auto" w:fill="8064A2" w:themeFill="accent4"/>
      </w:tcPr>
    </w:tblStylePr>
    <w:tblStylePr w:type="lastRow">
      <w:rPr>
        <w:b/>
        <w:bCs/>
      </w:rPr>
      <w:tblPr/>
      <w:tcPr>
        <w:tcBorders>
          <w:top w:val="double" w:sz="4" w:space="0" w:color="8064A2"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8064A2" w:themeColor="accent4"/>
          <w:right w:val="single" w:sz="4" w:space="0" w:color="8064A2" w:themeColor="accent4"/>
        </w:tcBorders>
      </w:tcPr>
    </w:tblStylePr>
    <w:tblStylePr w:type="band1Horz">
      <w:tblPr/>
      <w:tcPr>
        <w:tcBorders>
          <w:top w:val="single" w:sz="4" w:space="0" w:color="8064A2" w:themeColor="accent4"/>
          <w:bottom w:val="single" w:sz="4" w:space="0" w:color="8064A2"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8064A2" w:themeColor="accent4"/>
          <w:left w:val="nil"/>
        </w:tcBorders>
      </w:tcPr>
    </w:tblStylePr>
    <w:tblStylePr w:type="swCell">
      <w:tblPr/>
      <w:tcPr>
        <w:tcBorders>
          <w:top w:val="double" w:sz="4" w:space="0" w:color="8064A2" w:themeColor="accent4"/>
          <w:right w:val="nil"/>
        </w:tcBorders>
      </w:tcPr>
    </w:tblStylePr>
  </w:style>
  <w:style w:type="table" w:styleId="ListTable3-Accent5">
    <w:name w:val="List Table 3 Accent 5"/>
    <w:basedOn w:val="TableNormal"/>
    <w:uiPriority w:val="99"/>
    <w:rsid w:val="007376B6"/>
    <w:pPr>
      <w:spacing w:after="0" w:line="240" w:lineRule="auto"/>
    </w:pPr>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tblBorders>
    </w:tblPr>
    <w:tblStylePr w:type="firstRow">
      <w:rPr>
        <w:b/>
        <w:bCs/>
        <w:color w:val="FFFFFF" w:themeColor="background1"/>
      </w:rPr>
      <w:tblPr/>
      <w:tcPr>
        <w:shd w:val="clear" w:color="auto" w:fill="4BACC6" w:themeFill="accent5"/>
      </w:tcPr>
    </w:tblStylePr>
    <w:tblStylePr w:type="lastRow">
      <w:rPr>
        <w:b/>
        <w:bCs/>
      </w:rPr>
      <w:tblPr/>
      <w:tcPr>
        <w:tcBorders>
          <w:top w:val="double" w:sz="4" w:space="0" w:color="4BACC6"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BACC6" w:themeColor="accent5"/>
          <w:right w:val="single" w:sz="4" w:space="0" w:color="4BACC6" w:themeColor="accent5"/>
        </w:tcBorders>
      </w:tcPr>
    </w:tblStylePr>
    <w:tblStylePr w:type="band1Horz">
      <w:tblPr/>
      <w:tcPr>
        <w:tcBorders>
          <w:top w:val="single" w:sz="4" w:space="0" w:color="4BACC6" w:themeColor="accent5"/>
          <w:bottom w:val="single" w:sz="4" w:space="0" w:color="4BACC6"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BACC6" w:themeColor="accent5"/>
          <w:left w:val="nil"/>
        </w:tcBorders>
      </w:tcPr>
    </w:tblStylePr>
    <w:tblStylePr w:type="swCell">
      <w:tblPr/>
      <w:tcPr>
        <w:tcBorders>
          <w:top w:val="double" w:sz="4" w:space="0" w:color="4BACC6" w:themeColor="accent5"/>
          <w:right w:val="nil"/>
        </w:tcBorders>
      </w:tcPr>
    </w:tblStylePr>
  </w:style>
  <w:style w:type="table" w:styleId="ListTable3-Accent6">
    <w:name w:val="List Table 3 Accent 6"/>
    <w:basedOn w:val="TableNormal"/>
    <w:uiPriority w:val="99"/>
    <w:rsid w:val="007376B6"/>
    <w:pPr>
      <w:spacing w:after="0" w:line="240" w:lineRule="auto"/>
    </w:pPr>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tblBorders>
    </w:tblPr>
    <w:tblStylePr w:type="firstRow">
      <w:rPr>
        <w:b/>
        <w:bCs/>
        <w:color w:val="FFFFFF" w:themeColor="background1"/>
      </w:rPr>
      <w:tblPr/>
      <w:tcPr>
        <w:shd w:val="clear" w:color="auto" w:fill="F79646" w:themeFill="accent6"/>
      </w:tcPr>
    </w:tblStylePr>
    <w:tblStylePr w:type="lastRow">
      <w:rPr>
        <w:b/>
        <w:bCs/>
      </w:rPr>
      <w:tblPr/>
      <w:tcPr>
        <w:tcBorders>
          <w:top w:val="double" w:sz="4" w:space="0" w:color="F79646"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79646" w:themeColor="accent6"/>
          <w:right w:val="single" w:sz="4" w:space="0" w:color="F79646" w:themeColor="accent6"/>
        </w:tcBorders>
      </w:tcPr>
    </w:tblStylePr>
    <w:tblStylePr w:type="band1Horz">
      <w:tblPr/>
      <w:tcPr>
        <w:tcBorders>
          <w:top w:val="single" w:sz="4" w:space="0" w:color="F79646" w:themeColor="accent6"/>
          <w:bottom w:val="single" w:sz="4" w:space="0" w:color="F79646"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79646" w:themeColor="accent6"/>
          <w:left w:val="nil"/>
        </w:tcBorders>
      </w:tcPr>
    </w:tblStylePr>
    <w:tblStylePr w:type="swCell">
      <w:tblPr/>
      <w:tcPr>
        <w:tcBorders>
          <w:top w:val="double" w:sz="4" w:space="0" w:color="F79646" w:themeColor="accent6"/>
          <w:right w:val="nil"/>
        </w:tcBorders>
      </w:tcPr>
    </w:tblStylePr>
  </w:style>
  <w:style w:type="table" w:styleId="ListTable4">
    <w:name w:val="List Table 4"/>
    <w:basedOn w:val="TableNormal"/>
    <w:uiPriority w:val="99"/>
    <w:rsid w:val="007376B6"/>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4-Accent1">
    <w:name w:val="List Table 4 Accent 1"/>
    <w:basedOn w:val="TableNormal"/>
    <w:uiPriority w:val="99"/>
    <w:rsid w:val="007376B6"/>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Table4-Accent2">
    <w:name w:val="List Table 4 Accent 2"/>
    <w:basedOn w:val="TableNormal"/>
    <w:uiPriority w:val="99"/>
    <w:rsid w:val="007376B6"/>
    <w:pPr>
      <w:spacing w:after="0" w:line="240" w:lineRule="auto"/>
    </w:pPr>
    <w:tblPr>
      <w:tblStyleRowBandSize w:val="1"/>
      <w:tblStyleColBandSize w:val="1"/>
      <w:tblBorders>
        <w:top w:val="single" w:sz="4" w:space="0" w:color="D99594" w:themeColor="accent2" w:themeTint="99"/>
        <w:left w:val="single" w:sz="4" w:space="0" w:color="D99594" w:themeColor="accent2" w:themeTint="99"/>
        <w:bottom w:val="single" w:sz="4" w:space="0" w:color="D99594" w:themeColor="accent2" w:themeTint="99"/>
        <w:right w:val="single" w:sz="4" w:space="0" w:color="D99594" w:themeColor="accent2" w:themeTint="99"/>
        <w:insideH w:val="single" w:sz="4" w:space="0" w:color="D99594" w:themeColor="accent2" w:themeTint="99"/>
      </w:tblBorders>
    </w:tblPr>
    <w:tblStylePr w:type="firstRow">
      <w:rPr>
        <w:b/>
        <w:bCs/>
        <w:color w:val="FFFFFF" w:themeColor="background1"/>
      </w:rPr>
      <w:tblPr/>
      <w:tcPr>
        <w:tcBorders>
          <w:top w:val="single" w:sz="4" w:space="0" w:color="C0504D" w:themeColor="accent2"/>
          <w:left w:val="single" w:sz="4" w:space="0" w:color="C0504D" w:themeColor="accent2"/>
          <w:bottom w:val="single" w:sz="4" w:space="0" w:color="C0504D" w:themeColor="accent2"/>
          <w:right w:val="single" w:sz="4" w:space="0" w:color="C0504D" w:themeColor="accent2"/>
          <w:insideH w:val="nil"/>
        </w:tcBorders>
        <w:shd w:val="clear" w:color="auto" w:fill="C0504D" w:themeFill="accent2"/>
      </w:tcPr>
    </w:tblStylePr>
    <w:tblStylePr w:type="lastRow">
      <w:rPr>
        <w:b/>
        <w:bCs/>
      </w:rPr>
      <w:tblPr/>
      <w:tcPr>
        <w:tcBorders>
          <w:top w:val="doub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Table4-Accent3">
    <w:name w:val="List Table 4 Accent 3"/>
    <w:basedOn w:val="TableNormal"/>
    <w:uiPriority w:val="99"/>
    <w:rsid w:val="007376B6"/>
    <w:pPr>
      <w:spacing w:after="0" w:line="240" w:lineRule="auto"/>
    </w:p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tcBorders>
        <w:shd w:val="clear" w:color="auto" w:fill="9BBB59" w:themeFill="accent3"/>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Table4-Accent4">
    <w:name w:val="List Table 4 Accent 4"/>
    <w:basedOn w:val="TableNormal"/>
    <w:uiPriority w:val="99"/>
    <w:rsid w:val="007376B6"/>
    <w:pPr>
      <w:spacing w:after="0" w:line="240" w:lineRule="auto"/>
    </w:p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tcBorders>
        <w:shd w:val="clear" w:color="auto" w:fill="8064A2" w:themeFill="accent4"/>
      </w:tcPr>
    </w:tblStylePr>
    <w:tblStylePr w:type="lastRow">
      <w:rPr>
        <w:b/>
        <w:bCs/>
      </w:rPr>
      <w:tblPr/>
      <w:tcPr>
        <w:tcBorders>
          <w:top w:val="double" w:sz="4" w:space="0" w:color="B2A1C7" w:themeColor="accent4" w:themeTint="99"/>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Table4-Accent5">
    <w:name w:val="List Table 4 Accent 5"/>
    <w:basedOn w:val="TableNormal"/>
    <w:uiPriority w:val="99"/>
    <w:rsid w:val="007376B6"/>
    <w:pPr>
      <w:spacing w:after="0" w:line="240" w:lineRule="auto"/>
    </w:pPr>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tcBorders>
        <w:shd w:val="clear" w:color="auto" w:fill="4BACC6" w:themeFill="accent5"/>
      </w:tcPr>
    </w:tblStylePr>
    <w:tblStylePr w:type="lastRow">
      <w:rPr>
        <w:b/>
        <w:bCs/>
      </w:rPr>
      <w:tblPr/>
      <w:tcPr>
        <w:tcBorders>
          <w:top w:val="double" w:sz="4" w:space="0" w:color="92CDDC" w:themeColor="accent5" w:themeTint="99"/>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Table4-Accent6">
    <w:name w:val="List Table 4 Accent 6"/>
    <w:basedOn w:val="TableNormal"/>
    <w:uiPriority w:val="99"/>
    <w:rsid w:val="007376B6"/>
    <w:pPr>
      <w:spacing w:after="0" w:line="240" w:lineRule="auto"/>
    </w:p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tcBorders>
        <w:shd w:val="clear" w:color="auto" w:fill="F79646" w:themeFill="accent6"/>
      </w:tcPr>
    </w:tblStylePr>
    <w:tblStylePr w:type="lastRow">
      <w:rPr>
        <w:b/>
        <w:bCs/>
      </w:rPr>
      <w:tblPr/>
      <w:tcPr>
        <w:tcBorders>
          <w:top w:val="doub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stTable5Dark">
    <w:name w:val="List Table 5 Dark"/>
    <w:basedOn w:val="TableNormal"/>
    <w:uiPriority w:val="99"/>
    <w:rsid w:val="007376B6"/>
    <w:pPr>
      <w:spacing w:after="0" w:line="240" w:lineRule="auto"/>
    </w:pPr>
    <w:rPr>
      <w:color w:val="FFFFFF" w:themeColor="background1"/>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1">
    <w:name w:val="List Table 5 Dark Accent 1"/>
    <w:basedOn w:val="TableNormal"/>
    <w:uiPriority w:val="99"/>
    <w:rsid w:val="007376B6"/>
    <w:pPr>
      <w:spacing w:after="0" w:line="240" w:lineRule="auto"/>
    </w:pPr>
    <w:rPr>
      <w:color w:val="FFFFFF" w:themeColor="background1"/>
    </w:rPr>
    <w:tblPr>
      <w:tblStyleRowBandSize w:val="1"/>
      <w:tblStyleColBandSize w:val="1"/>
      <w:tblBorders>
        <w:top w:val="single" w:sz="24" w:space="0" w:color="4F81BD" w:themeColor="accent1"/>
        <w:left w:val="single" w:sz="24" w:space="0" w:color="4F81BD" w:themeColor="accent1"/>
        <w:bottom w:val="single" w:sz="24" w:space="0" w:color="4F81BD" w:themeColor="accent1"/>
        <w:right w:val="single" w:sz="24" w:space="0" w:color="4F81BD" w:themeColor="accent1"/>
      </w:tblBorders>
    </w:tblPr>
    <w:tcPr>
      <w:shd w:val="clear" w:color="auto" w:fill="4F81BD"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2">
    <w:name w:val="List Table 5 Dark Accent 2"/>
    <w:basedOn w:val="TableNormal"/>
    <w:uiPriority w:val="99"/>
    <w:rsid w:val="007376B6"/>
    <w:pPr>
      <w:spacing w:after="0" w:line="240" w:lineRule="auto"/>
    </w:pPr>
    <w:rPr>
      <w:color w:val="FFFFFF" w:themeColor="background1"/>
    </w:rPr>
    <w:tblPr>
      <w:tblStyleRowBandSize w:val="1"/>
      <w:tblStyleColBandSize w:val="1"/>
      <w:tblBorders>
        <w:top w:val="single" w:sz="24" w:space="0" w:color="C0504D" w:themeColor="accent2"/>
        <w:left w:val="single" w:sz="24" w:space="0" w:color="C0504D" w:themeColor="accent2"/>
        <w:bottom w:val="single" w:sz="24" w:space="0" w:color="C0504D" w:themeColor="accent2"/>
        <w:right w:val="single" w:sz="24" w:space="0" w:color="C0504D" w:themeColor="accent2"/>
      </w:tblBorders>
    </w:tblPr>
    <w:tcPr>
      <w:shd w:val="clear" w:color="auto" w:fill="C0504D"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3">
    <w:name w:val="List Table 5 Dark Accent 3"/>
    <w:basedOn w:val="TableNormal"/>
    <w:uiPriority w:val="99"/>
    <w:rsid w:val="007376B6"/>
    <w:pPr>
      <w:spacing w:after="0" w:line="240" w:lineRule="auto"/>
    </w:pPr>
    <w:rPr>
      <w:color w:val="FFFFFF" w:themeColor="background1"/>
    </w:rPr>
    <w:tblPr>
      <w:tblStyleRowBandSize w:val="1"/>
      <w:tblStyleColBandSize w:val="1"/>
      <w:tblBorders>
        <w:top w:val="single" w:sz="24" w:space="0" w:color="9BBB59" w:themeColor="accent3"/>
        <w:left w:val="single" w:sz="24" w:space="0" w:color="9BBB59" w:themeColor="accent3"/>
        <w:bottom w:val="single" w:sz="24" w:space="0" w:color="9BBB59" w:themeColor="accent3"/>
        <w:right w:val="single" w:sz="24" w:space="0" w:color="9BBB59" w:themeColor="accent3"/>
      </w:tblBorders>
    </w:tblPr>
    <w:tcPr>
      <w:shd w:val="clear" w:color="auto" w:fill="9BBB59"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4">
    <w:name w:val="List Table 5 Dark Accent 4"/>
    <w:basedOn w:val="TableNormal"/>
    <w:uiPriority w:val="99"/>
    <w:rsid w:val="007376B6"/>
    <w:pPr>
      <w:spacing w:after="0" w:line="240" w:lineRule="auto"/>
    </w:pPr>
    <w:rPr>
      <w:color w:val="FFFFFF" w:themeColor="background1"/>
    </w:rPr>
    <w:tblPr>
      <w:tblStyleRowBandSize w:val="1"/>
      <w:tblStyleColBandSize w:val="1"/>
      <w:tblBorders>
        <w:top w:val="single" w:sz="24" w:space="0" w:color="8064A2" w:themeColor="accent4"/>
        <w:left w:val="single" w:sz="24" w:space="0" w:color="8064A2" w:themeColor="accent4"/>
        <w:bottom w:val="single" w:sz="24" w:space="0" w:color="8064A2" w:themeColor="accent4"/>
        <w:right w:val="single" w:sz="24" w:space="0" w:color="8064A2" w:themeColor="accent4"/>
      </w:tblBorders>
    </w:tblPr>
    <w:tcPr>
      <w:shd w:val="clear" w:color="auto" w:fill="8064A2"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5">
    <w:name w:val="List Table 5 Dark Accent 5"/>
    <w:basedOn w:val="TableNormal"/>
    <w:uiPriority w:val="99"/>
    <w:rsid w:val="007376B6"/>
    <w:pPr>
      <w:spacing w:after="0" w:line="240" w:lineRule="auto"/>
    </w:pPr>
    <w:rPr>
      <w:color w:val="FFFFFF" w:themeColor="background1"/>
    </w:rPr>
    <w:tblPr>
      <w:tblStyleRowBandSize w:val="1"/>
      <w:tblStyleColBandSize w:val="1"/>
      <w:tblBorders>
        <w:top w:val="single" w:sz="24" w:space="0" w:color="4BACC6" w:themeColor="accent5"/>
        <w:left w:val="single" w:sz="24" w:space="0" w:color="4BACC6" w:themeColor="accent5"/>
        <w:bottom w:val="single" w:sz="24" w:space="0" w:color="4BACC6" w:themeColor="accent5"/>
        <w:right w:val="single" w:sz="24" w:space="0" w:color="4BACC6" w:themeColor="accent5"/>
      </w:tblBorders>
    </w:tblPr>
    <w:tcPr>
      <w:shd w:val="clear" w:color="auto" w:fill="4BACC6"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6">
    <w:name w:val="List Table 5 Dark Accent 6"/>
    <w:basedOn w:val="TableNormal"/>
    <w:uiPriority w:val="99"/>
    <w:rsid w:val="007376B6"/>
    <w:pPr>
      <w:spacing w:after="0" w:line="240" w:lineRule="auto"/>
    </w:pPr>
    <w:rPr>
      <w:color w:val="FFFFFF" w:themeColor="background1"/>
    </w:rPr>
    <w:tblPr>
      <w:tblStyleRowBandSize w:val="1"/>
      <w:tblStyleColBandSize w:val="1"/>
      <w:tblBorders>
        <w:top w:val="single" w:sz="24" w:space="0" w:color="F79646" w:themeColor="accent6"/>
        <w:left w:val="single" w:sz="24" w:space="0" w:color="F79646" w:themeColor="accent6"/>
        <w:bottom w:val="single" w:sz="24" w:space="0" w:color="F79646" w:themeColor="accent6"/>
        <w:right w:val="single" w:sz="24" w:space="0" w:color="F79646" w:themeColor="accent6"/>
      </w:tblBorders>
    </w:tblPr>
    <w:tcPr>
      <w:shd w:val="clear" w:color="auto" w:fill="F79646"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6Colorful">
    <w:name w:val="List Table 6 Colorful"/>
    <w:basedOn w:val="TableNormal"/>
    <w:uiPriority w:val="99"/>
    <w:rsid w:val="007376B6"/>
    <w:pPr>
      <w:spacing w:after="0" w:line="240" w:lineRule="auto"/>
    </w:pPr>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6Colorful-Accent1">
    <w:name w:val="List Table 6 Colorful Accent 1"/>
    <w:basedOn w:val="TableNormal"/>
    <w:uiPriority w:val="99"/>
    <w:rsid w:val="007376B6"/>
    <w:pPr>
      <w:spacing w:after="0" w:line="240" w:lineRule="auto"/>
    </w:pPr>
    <w:rPr>
      <w:color w:val="365F91" w:themeColor="accent1" w:themeShade="BF"/>
    </w:rPr>
    <w:tblPr>
      <w:tblStyleRowBandSize w:val="1"/>
      <w:tblStyleColBandSize w:val="1"/>
      <w:tblBorders>
        <w:top w:val="single" w:sz="4" w:space="0" w:color="4F81BD" w:themeColor="accent1"/>
        <w:bottom w:val="single" w:sz="4" w:space="0" w:color="4F81BD" w:themeColor="accent1"/>
      </w:tblBorders>
    </w:tblPr>
    <w:tblStylePr w:type="firstRow">
      <w:rPr>
        <w:b/>
        <w:bCs/>
      </w:rPr>
      <w:tblPr/>
      <w:tcPr>
        <w:tcBorders>
          <w:bottom w:val="single" w:sz="4" w:space="0" w:color="4F81BD" w:themeColor="accent1"/>
        </w:tcBorders>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Table6Colorful-Accent2">
    <w:name w:val="List Table 6 Colorful Accent 2"/>
    <w:basedOn w:val="TableNormal"/>
    <w:uiPriority w:val="99"/>
    <w:rsid w:val="007376B6"/>
    <w:pPr>
      <w:spacing w:after="0" w:line="240" w:lineRule="auto"/>
    </w:pPr>
    <w:rPr>
      <w:color w:val="943634" w:themeColor="accent2" w:themeShade="BF"/>
    </w:rPr>
    <w:tblPr>
      <w:tblStyleRowBandSize w:val="1"/>
      <w:tblStyleColBandSize w:val="1"/>
      <w:tblBorders>
        <w:top w:val="single" w:sz="4" w:space="0" w:color="C0504D" w:themeColor="accent2"/>
        <w:bottom w:val="single" w:sz="4" w:space="0" w:color="C0504D" w:themeColor="accent2"/>
      </w:tblBorders>
    </w:tblPr>
    <w:tblStylePr w:type="firstRow">
      <w:rPr>
        <w:b/>
        <w:bCs/>
      </w:rPr>
      <w:tblPr/>
      <w:tcPr>
        <w:tcBorders>
          <w:bottom w:val="single" w:sz="4" w:space="0" w:color="C0504D" w:themeColor="accent2"/>
        </w:tcBorders>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ListTable6Colorful-Accent3">
    <w:name w:val="List Table 6 Colorful Accent 3"/>
    <w:basedOn w:val="TableNormal"/>
    <w:uiPriority w:val="99"/>
    <w:rsid w:val="007376B6"/>
    <w:pPr>
      <w:spacing w:after="0" w:line="240" w:lineRule="auto"/>
    </w:pPr>
    <w:rPr>
      <w:color w:val="76923C" w:themeColor="accent3" w:themeShade="BF"/>
    </w:rPr>
    <w:tblPr>
      <w:tblStyleRowBandSize w:val="1"/>
      <w:tblStyleColBandSize w:val="1"/>
      <w:tblBorders>
        <w:top w:val="single" w:sz="4" w:space="0" w:color="9BBB59" w:themeColor="accent3"/>
        <w:bottom w:val="single" w:sz="4" w:space="0" w:color="9BBB59" w:themeColor="accent3"/>
      </w:tblBorders>
    </w:tblPr>
    <w:tblStylePr w:type="firstRow">
      <w:rPr>
        <w:b/>
        <w:bCs/>
      </w:rPr>
      <w:tblPr/>
      <w:tcPr>
        <w:tcBorders>
          <w:bottom w:val="single" w:sz="4" w:space="0" w:color="9BBB59" w:themeColor="accent3"/>
        </w:tcBorders>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ListTable6Colorful-Accent4">
    <w:name w:val="List Table 6 Colorful Accent 4"/>
    <w:basedOn w:val="TableNormal"/>
    <w:uiPriority w:val="99"/>
    <w:rsid w:val="007376B6"/>
    <w:pPr>
      <w:spacing w:after="0" w:line="240" w:lineRule="auto"/>
    </w:pPr>
    <w:rPr>
      <w:color w:val="5F497A" w:themeColor="accent4" w:themeShade="BF"/>
    </w:rPr>
    <w:tblPr>
      <w:tblStyleRowBandSize w:val="1"/>
      <w:tblStyleColBandSize w:val="1"/>
      <w:tblBorders>
        <w:top w:val="single" w:sz="4" w:space="0" w:color="8064A2" w:themeColor="accent4"/>
        <w:bottom w:val="single" w:sz="4" w:space="0" w:color="8064A2" w:themeColor="accent4"/>
      </w:tblBorders>
    </w:tblPr>
    <w:tblStylePr w:type="firstRow">
      <w:rPr>
        <w:b/>
        <w:bCs/>
      </w:rPr>
      <w:tblPr/>
      <w:tcPr>
        <w:tcBorders>
          <w:bottom w:val="single" w:sz="4" w:space="0" w:color="8064A2" w:themeColor="accent4"/>
        </w:tcBorders>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Table6Colorful-Accent5">
    <w:name w:val="List Table 6 Colorful Accent 5"/>
    <w:basedOn w:val="TableNormal"/>
    <w:uiPriority w:val="99"/>
    <w:rsid w:val="007376B6"/>
    <w:pPr>
      <w:spacing w:after="0" w:line="240" w:lineRule="auto"/>
    </w:pPr>
    <w:rPr>
      <w:color w:val="31849B" w:themeColor="accent5" w:themeShade="BF"/>
    </w:rPr>
    <w:tblPr>
      <w:tblStyleRowBandSize w:val="1"/>
      <w:tblStyleColBandSize w:val="1"/>
      <w:tblBorders>
        <w:top w:val="single" w:sz="4" w:space="0" w:color="4BACC6" w:themeColor="accent5"/>
        <w:bottom w:val="single" w:sz="4" w:space="0" w:color="4BACC6" w:themeColor="accent5"/>
      </w:tblBorders>
    </w:tblPr>
    <w:tblStylePr w:type="firstRow">
      <w:rPr>
        <w:b/>
        <w:bCs/>
      </w:rPr>
      <w:tblPr/>
      <w:tcPr>
        <w:tcBorders>
          <w:bottom w:val="single" w:sz="4" w:space="0" w:color="4BACC6" w:themeColor="accent5"/>
        </w:tcBorders>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styleId="ListTable6Colorful-Accent6">
    <w:name w:val="List Table 6 Colorful Accent 6"/>
    <w:basedOn w:val="TableNormal"/>
    <w:uiPriority w:val="99"/>
    <w:rsid w:val="007376B6"/>
    <w:pPr>
      <w:spacing w:after="0" w:line="240" w:lineRule="auto"/>
    </w:pPr>
    <w:rPr>
      <w:color w:val="E36C0A" w:themeColor="accent6" w:themeShade="BF"/>
    </w:rPr>
    <w:tblPr>
      <w:tblStyleRowBandSize w:val="1"/>
      <w:tblStyleColBandSize w:val="1"/>
      <w:tblBorders>
        <w:top w:val="single" w:sz="4" w:space="0" w:color="F79646" w:themeColor="accent6"/>
        <w:bottom w:val="single" w:sz="4" w:space="0" w:color="F79646" w:themeColor="accent6"/>
      </w:tblBorders>
    </w:tblPr>
    <w:tblStylePr w:type="firstRow">
      <w:rPr>
        <w:b/>
        <w:bCs/>
      </w:rPr>
      <w:tblPr/>
      <w:tcPr>
        <w:tcBorders>
          <w:bottom w:val="single" w:sz="4" w:space="0" w:color="F79646" w:themeColor="accent6"/>
        </w:tcBorders>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styleId="ListTable7Colorful">
    <w:name w:val="List Table 7 Colorful"/>
    <w:basedOn w:val="TableNormal"/>
    <w:uiPriority w:val="99"/>
    <w:rsid w:val="007376B6"/>
    <w:pPr>
      <w:spacing w:after="0" w:line="240" w:lineRule="auto"/>
    </w:pPr>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1">
    <w:name w:val="List Table 7 Colorful Accent 1"/>
    <w:basedOn w:val="TableNormal"/>
    <w:uiPriority w:val="99"/>
    <w:rsid w:val="007376B6"/>
    <w:pPr>
      <w:spacing w:after="0" w:line="240" w:lineRule="auto"/>
    </w:pPr>
    <w:rPr>
      <w:color w:val="365F91"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F81BD"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F81BD"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F81BD"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F81BD" w:themeColor="accent1"/>
        </w:tcBorders>
        <w:shd w:val="clear" w:color="auto" w:fill="FFFFFF" w:themeFill="background1"/>
      </w:tcPr>
    </w:tblStylePr>
    <w:tblStylePr w:type="band1Vert">
      <w:tblPr/>
      <w:tcPr>
        <w:shd w:val="clear" w:color="auto" w:fill="DBE5F1" w:themeFill="accent1" w:themeFillTint="33"/>
      </w:tcPr>
    </w:tblStylePr>
    <w:tblStylePr w:type="band1Horz">
      <w:tblPr/>
      <w:tcPr>
        <w:shd w:val="clear" w:color="auto" w:fill="DBE5F1"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2">
    <w:name w:val="List Table 7 Colorful Accent 2"/>
    <w:basedOn w:val="TableNormal"/>
    <w:uiPriority w:val="99"/>
    <w:rsid w:val="007376B6"/>
    <w:pPr>
      <w:spacing w:after="0" w:line="240" w:lineRule="auto"/>
    </w:pPr>
    <w:rPr>
      <w:color w:val="943634"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C0504D"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C0504D"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C0504D"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C0504D" w:themeColor="accent2"/>
        </w:tcBorders>
        <w:shd w:val="clear" w:color="auto" w:fill="FFFFFF" w:themeFill="background1"/>
      </w:tcPr>
    </w:tblStylePr>
    <w:tblStylePr w:type="band1Vert">
      <w:tblPr/>
      <w:tcPr>
        <w:shd w:val="clear" w:color="auto" w:fill="F2DBDB" w:themeFill="accent2" w:themeFillTint="33"/>
      </w:tcPr>
    </w:tblStylePr>
    <w:tblStylePr w:type="band1Horz">
      <w:tblPr/>
      <w:tcPr>
        <w:shd w:val="clear" w:color="auto" w:fill="F2DBDB"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3">
    <w:name w:val="List Table 7 Colorful Accent 3"/>
    <w:basedOn w:val="TableNormal"/>
    <w:uiPriority w:val="99"/>
    <w:rsid w:val="007376B6"/>
    <w:pPr>
      <w:spacing w:after="0" w:line="240" w:lineRule="auto"/>
    </w:pPr>
    <w:rPr>
      <w:color w:val="76923C"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9BBB59"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9BBB59"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9BBB59"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9BBB59" w:themeColor="accent3"/>
        </w:tcBorders>
        <w:shd w:val="clear" w:color="auto" w:fill="FFFFFF" w:themeFill="background1"/>
      </w:tcPr>
    </w:tblStylePr>
    <w:tblStylePr w:type="band1Vert">
      <w:tblPr/>
      <w:tcPr>
        <w:shd w:val="clear" w:color="auto" w:fill="EAF1DD" w:themeFill="accent3" w:themeFillTint="33"/>
      </w:tcPr>
    </w:tblStylePr>
    <w:tblStylePr w:type="band1Horz">
      <w:tblPr/>
      <w:tcPr>
        <w:shd w:val="clear" w:color="auto" w:fill="EAF1DD"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4">
    <w:name w:val="List Table 7 Colorful Accent 4"/>
    <w:basedOn w:val="TableNormal"/>
    <w:uiPriority w:val="99"/>
    <w:rsid w:val="007376B6"/>
    <w:pPr>
      <w:spacing w:after="0" w:line="240" w:lineRule="auto"/>
    </w:pPr>
    <w:rPr>
      <w:color w:val="5F497A"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8064A2"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8064A2"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8064A2"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8064A2" w:themeColor="accent4"/>
        </w:tcBorders>
        <w:shd w:val="clear" w:color="auto" w:fill="FFFFFF" w:themeFill="background1"/>
      </w:tcPr>
    </w:tblStylePr>
    <w:tblStylePr w:type="band1Vert">
      <w:tblPr/>
      <w:tcPr>
        <w:shd w:val="clear" w:color="auto" w:fill="E5DFEC" w:themeFill="accent4" w:themeFillTint="33"/>
      </w:tcPr>
    </w:tblStylePr>
    <w:tblStylePr w:type="band1Horz">
      <w:tblPr/>
      <w:tcPr>
        <w:shd w:val="clear" w:color="auto" w:fill="E5DFEC"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5">
    <w:name w:val="List Table 7 Colorful Accent 5"/>
    <w:basedOn w:val="TableNormal"/>
    <w:uiPriority w:val="99"/>
    <w:rsid w:val="007376B6"/>
    <w:pPr>
      <w:spacing w:after="0" w:line="240" w:lineRule="auto"/>
    </w:pPr>
    <w:rPr>
      <w:color w:val="31849B"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BACC6"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BACC6"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BACC6"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BACC6" w:themeColor="accent5"/>
        </w:tcBorders>
        <w:shd w:val="clear" w:color="auto" w:fill="FFFFFF" w:themeFill="background1"/>
      </w:tcPr>
    </w:tblStylePr>
    <w:tblStylePr w:type="band1Vert">
      <w:tblPr/>
      <w:tcPr>
        <w:shd w:val="clear" w:color="auto" w:fill="DAEEF3" w:themeFill="accent5" w:themeFillTint="33"/>
      </w:tcPr>
    </w:tblStylePr>
    <w:tblStylePr w:type="band1Horz">
      <w:tblPr/>
      <w:tcPr>
        <w:shd w:val="clear" w:color="auto" w:fill="DAEEF3"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6">
    <w:name w:val="List Table 7 Colorful Accent 6"/>
    <w:basedOn w:val="TableNormal"/>
    <w:uiPriority w:val="99"/>
    <w:rsid w:val="007376B6"/>
    <w:pPr>
      <w:spacing w:after="0" w:line="240" w:lineRule="auto"/>
    </w:pPr>
    <w:rPr>
      <w:color w:val="E36C0A"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F79646"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F79646"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F79646"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F79646" w:themeColor="accent6"/>
        </w:tcBorders>
        <w:shd w:val="clear" w:color="auto" w:fill="FFFFFF" w:themeFill="background1"/>
      </w:tcPr>
    </w:tblStylePr>
    <w:tblStylePr w:type="band1Vert">
      <w:tblPr/>
      <w:tcPr>
        <w:shd w:val="clear" w:color="auto" w:fill="FDE9D9" w:themeFill="accent6" w:themeFillTint="33"/>
      </w:tcPr>
    </w:tblStylePr>
    <w:tblStylePr w:type="band1Horz">
      <w:tblPr/>
      <w:tcPr>
        <w:shd w:val="clear" w:color="auto" w:fill="FDE9D9"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MediumGrid1">
    <w:name w:val="Medium Grid 1"/>
    <w:basedOn w:val="TableNormal"/>
    <w:uiPriority w:val="99"/>
    <w:semiHidden/>
    <w:unhideWhenUsed/>
    <w:rsid w:val="007376B6"/>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99"/>
    <w:semiHidden/>
    <w:unhideWhenUsed/>
    <w:rsid w:val="007376B6"/>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Accent2">
    <w:name w:val="Medium Grid 1 Accent 2"/>
    <w:basedOn w:val="TableNormal"/>
    <w:uiPriority w:val="99"/>
    <w:semiHidden/>
    <w:unhideWhenUsed/>
    <w:rsid w:val="007376B6"/>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3">
    <w:name w:val="Medium Grid 1 Accent 3"/>
    <w:basedOn w:val="TableNormal"/>
    <w:uiPriority w:val="99"/>
    <w:semiHidden/>
    <w:unhideWhenUsed/>
    <w:rsid w:val="007376B6"/>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ediumGrid1-Accent4">
    <w:name w:val="Medium Grid 1 Accent 4"/>
    <w:basedOn w:val="TableNormal"/>
    <w:uiPriority w:val="99"/>
    <w:semiHidden/>
    <w:unhideWhenUsed/>
    <w:rsid w:val="007376B6"/>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ediumGrid1-Accent5">
    <w:name w:val="Medium Grid 1 Accent 5"/>
    <w:basedOn w:val="TableNormal"/>
    <w:uiPriority w:val="99"/>
    <w:semiHidden/>
    <w:unhideWhenUsed/>
    <w:rsid w:val="007376B6"/>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1-Accent6">
    <w:name w:val="Medium Grid 1 Accent 6"/>
    <w:basedOn w:val="TableNormal"/>
    <w:uiPriority w:val="99"/>
    <w:semiHidden/>
    <w:unhideWhenUsed/>
    <w:rsid w:val="007376B6"/>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ediumGrid2">
    <w:name w:val="Medium Grid 2"/>
    <w:basedOn w:val="TableNormal"/>
    <w:uiPriority w:val="99"/>
    <w:semiHidden/>
    <w:unhideWhenUsed/>
    <w:rsid w:val="007376B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99"/>
    <w:semiHidden/>
    <w:unhideWhenUsed/>
    <w:rsid w:val="007376B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99"/>
    <w:semiHidden/>
    <w:unhideWhenUsed/>
    <w:rsid w:val="007376B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99"/>
    <w:semiHidden/>
    <w:unhideWhenUsed/>
    <w:rsid w:val="007376B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99"/>
    <w:semiHidden/>
    <w:unhideWhenUsed/>
    <w:rsid w:val="007376B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99"/>
    <w:semiHidden/>
    <w:unhideWhenUsed/>
    <w:rsid w:val="007376B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99"/>
    <w:semiHidden/>
    <w:unhideWhenUsed/>
    <w:rsid w:val="007376B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ediumGrid3">
    <w:name w:val="Medium Grid 3"/>
    <w:basedOn w:val="TableNormal"/>
    <w:uiPriority w:val="99"/>
    <w:semiHidden/>
    <w:unhideWhenUsed/>
    <w:rsid w:val="007376B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99"/>
    <w:semiHidden/>
    <w:unhideWhenUsed/>
    <w:rsid w:val="007376B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3-Accent2">
    <w:name w:val="Medium Grid 3 Accent 2"/>
    <w:basedOn w:val="TableNormal"/>
    <w:uiPriority w:val="99"/>
    <w:semiHidden/>
    <w:unhideWhenUsed/>
    <w:rsid w:val="007376B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ediumGrid3-Accent3">
    <w:name w:val="Medium Grid 3 Accent 3"/>
    <w:basedOn w:val="TableNormal"/>
    <w:uiPriority w:val="99"/>
    <w:semiHidden/>
    <w:unhideWhenUsed/>
    <w:rsid w:val="007376B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ediumGrid3-Accent4">
    <w:name w:val="Medium Grid 3 Accent 4"/>
    <w:basedOn w:val="TableNormal"/>
    <w:uiPriority w:val="99"/>
    <w:semiHidden/>
    <w:unhideWhenUsed/>
    <w:rsid w:val="007376B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ediumGrid3-Accent5">
    <w:name w:val="Medium Grid 3 Accent 5"/>
    <w:basedOn w:val="TableNormal"/>
    <w:uiPriority w:val="99"/>
    <w:semiHidden/>
    <w:unhideWhenUsed/>
    <w:rsid w:val="007376B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ediumGrid3-Accent6">
    <w:name w:val="Medium Grid 3 Accent 6"/>
    <w:basedOn w:val="TableNormal"/>
    <w:uiPriority w:val="99"/>
    <w:semiHidden/>
    <w:unhideWhenUsed/>
    <w:rsid w:val="007376B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MediumList1">
    <w:name w:val="Medium List 1"/>
    <w:basedOn w:val="TableNormal"/>
    <w:uiPriority w:val="99"/>
    <w:semiHidden/>
    <w:unhideWhenUsed/>
    <w:rsid w:val="007376B6"/>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99"/>
    <w:semiHidden/>
    <w:unhideWhenUsed/>
    <w:rsid w:val="007376B6"/>
    <w:pPr>
      <w:spacing w:after="0" w:line="240" w:lineRule="auto"/>
    </w:pPr>
    <w:rPr>
      <w:color w:val="000000" w:themeColor="text1"/>
    </w:rPr>
    <w:tblPr>
      <w:tblStyleRowBandSize w:val="1"/>
      <w:tblStyleColBandSize w:val="1"/>
      <w:tblBorders>
        <w:top w:val="single" w:sz="8" w:space="0" w:color="4F81BD" w:themeColor="accent1"/>
        <w:bottom w:val="single" w:sz="8" w:space="0" w:color="4F81BD" w:themeColor="accent1"/>
      </w:tblBorders>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List1-Accent2">
    <w:name w:val="Medium List 1 Accent 2"/>
    <w:basedOn w:val="TableNormal"/>
    <w:uiPriority w:val="99"/>
    <w:semiHidden/>
    <w:unhideWhenUsed/>
    <w:rsid w:val="007376B6"/>
    <w:pPr>
      <w:spacing w:after="0" w:line="240" w:lineRule="auto"/>
    </w:pPr>
    <w:rPr>
      <w:color w:val="000000" w:themeColor="text1"/>
    </w:rPr>
    <w:tblPr>
      <w:tblStyleRowBandSize w:val="1"/>
      <w:tblStyleColBandSize w:val="1"/>
      <w:tblBorders>
        <w:top w:val="single" w:sz="8" w:space="0" w:color="C0504D" w:themeColor="accent2"/>
        <w:bottom w:val="single" w:sz="8" w:space="0" w:color="C0504D" w:themeColor="accent2"/>
      </w:tblBorders>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ediumList1-Accent3">
    <w:name w:val="Medium List 1 Accent 3"/>
    <w:basedOn w:val="TableNormal"/>
    <w:uiPriority w:val="99"/>
    <w:semiHidden/>
    <w:unhideWhenUsed/>
    <w:rsid w:val="007376B6"/>
    <w:pPr>
      <w:spacing w:after="0" w:line="240" w:lineRule="auto"/>
    </w:pPr>
    <w:rPr>
      <w:color w:val="000000" w:themeColor="text1"/>
    </w:rPr>
    <w:tblPr>
      <w:tblStyleRowBandSize w:val="1"/>
      <w:tblStyleColBandSize w:val="1"/>
      <w:tblBorders>
        <w:top w:val="single" w:sz="8" w:space="0" w:color="9BBB59" w:themeColor="accent3"/>
        <w:bottom w:val="single" w:sz="8" w:space="0" w:color="9BBB59" w:themeColor="accent3"/>
      </w:tblBorders>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ediumList1-Accent4">
    <w:name w:val="Medium List 1 Accent 4"/>
    <w:basedOn w:val="TableNormal"/>
    <w:uiPriority w:val="99"/>
    <w:semiHidden/>
    <w:unhideWhenUsed/>
    <w:rsid w:val="007376B6"/>
    <w:pPr>
      <w:spacing w:after="0" w:line="240" w:lineRule="auto"/>
    </w:pPr>
    <w:rPr>
      <w:color w:val="000000" w:themeColor="text1"/>
    </w:rPr>
    <w:tblPr>
      <w:tblStyleRowBandSize w:val="1"/>
      <w:tblStyleColBandSize w:val="1"/>
      <w:tblBorders>
        <w:top w:val="single" w:sz="8" w:space="0" w:color="8064A2" w:themeColor="accent4"/>
        <w:bottom w:val="single" w:sz="8" w:space="0" w:color="8064A2" w:themeColor="accent4"/>
      </w:tblBorders>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ediumList1-Accent5">
    <w:name w:val="Medium List 1 Accent 5"/>
    <w:basedOn w:val="TableNormal"/>
    <w:uiPriority w:val="99"/>
    <w:semiHidden/>
    <w:unhideWhenUsed/>
    <w:rsid w:val="007376B6"/>
    <w:pPr>
      <w:spacing w:after="0" w:line="240" w:lineRule="auto"/>
    </w:pPr>
    <w:rPr>
      <w:color w:val="000000" w:themeColor="text1"/>
    </w:rPr>
    <w:tblPr>
      <w:tblStyleRowBandSize w:val="1"/>
      <w:tblStyleColBandSize w:val="1"/>
      <w:tblBorders>
        <w:top w:val="single" w:sz="8" w:space="0" w:color="4BACC6" w:themeColor="accent5"/>
        <w:bottom w:val="single" w:sz="8" w:space="0" w:color="4BACC6" w:themeColor="accent5"/>
      </w:tblBorders>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ediumList1-Accent6">
    <w:name w:val="Medium List 1 Accent 6"/>
    <w:basedOn w:val="TableNormal"/>
    <w:uiPriority w:val="99"/>
    <w:semiHidden/>
    <w:unhideWhenUsed/>
    <w:rsid w:val="007376B6"/>
    <w:pPr>
      <w:spacing w:after="0" w:line="240" w:lineRule="auto"/>
    </w:pPr>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
    <w:name w:val="Medium List 2"/>
    <w:basedOn w:val="TableNormal"/>
    <w:uiPriority w:val="99"/>
    <w:semiHidden/>
    <w:unhideWhenUsed/>
    <w:rsid w:val="007376B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99"/>
    <w:semiHidden/>
    <w:unhideWhenUsed/>
    <w:rsid w:val="007376B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99"/>
    <w:semiHidden/>
    <w:unhideWhenUsed/>
    <w:rsid w:val="007376B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0504D" w:themeColor="accent2"/>
        <w:left w:val="single" w:sz="8" w:space="0" w:color="C0504D" w:themeColor="accent2"/>
        <w:bottom w:val="single" w:sz="8" w:space="0" w:color="C0504D" w:themeColor="accent2"/>
        <w:right w:val="single" w:sz="8" w:space="0" w:color="C0504D" w:themeColor="accent2"/>
      </w:tblBorders>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99"/>
    <w:semiHidden/>
    <w:unhideWhenUsed/>
    <w:rsid w:val="007376B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BBB59" w:themeColor="accent3"/>
        <w:left w:val="single" w:sz="8" w:space="0" w:color="9BBB59" w:themeColor="accent3"/>
        <w:bottom w:val="single" w:sz="8" w:space="0" w:color="9BBB59" w:themeColor="accent3"/>
        <w:right w:val="single" w:sz="8" w:space="0" w:color="9BBB59" w:themeColor="accent3"/>
      </w:tblBorders>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99"/>
    <w:semiHidden/>
    <w:unhideWhenUsed/>
    <w:rsid w:val="007376B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99"/>
    <w:semiHidden/>
    <w:unhideWhenUsed/>
    <w:rsid w:val="007376B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99"/>
    <w:semiHidden/>
    <w:unhideWhenUsed/>
    <w:rsid w:val="007376B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Shading1">
    <w:name w:val="Medium Shading 1"/>
    <w:basedOn w:val="TableNormal"/>
    <w:uiPriority w:val="99"/>
    <w:semiHidden/>
    <w:unhideWhenUsed/>
    <w:rsid w:val="007376B6"/>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99"/>
    <w:semiHidden/>
    <w:unhideWhenUsed/>
    <w:rsid w:val="007376B6"/>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99"/>
    <w:semiHidden/>
    <w:unhideWhenUsed/>
    <w:rsid w:val="007376B6"/>
    <w:pPr>
      <w:spacing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99"/>
    <w:semiHidden/>
    <w:unhideWhenUsed/>
    <w:rsid w:val="007376B6"/>
    <w:pPr>
      <w:spacing w:after="0" w:line="240" w:lineRule="auto"/>
    </w:pPr>
    <w:tblPr>
      <w:tblStyleRowBandSize w:val="1"/>
      <w:tblStyleColBandSize w:val="1"/>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99"/>
    <w:semiHidden/>
    <w:unhideWhenUsed/>
    <w:rsid w:val="007376B6"/>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99"/>
    <w:semiHidden/>
    <w:unhideWhenUsed/>
    <w:rsid w:val="007376B6"/>
    <w:pPr>
      <w:spacing w:after="0" w:line="240" w:lineRule="auto"/>
    </w:pPr>
    <w:tblPr>
      <w:tblStyleRowBandSize w:val="1"/>
      <w:tblStyleColBandSize w:val="1"/>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99"/>
    <w:semiHidden/>
    <w:unhideWhenUsed/>
    <w:rsid w:val="007376B6"/>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99"/>
    <w:semiHidden/>
    <w:unhideWhenUsed/>
    <w:rsid w:val="007376B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99"/>
    <w:semiHidden/>
    <w:unhideWhenUsed/>
    <w:rsid w:val="007376B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99"/>
    <w:semiHidden/>
    <w:unhideWhenUsed/>
    <w:rsid w:val="007376B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99"/>
    <w:semiHidden/>
    <w:unhideWhenUsed/>
    <w:rsid w:val="007376B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99"/>
    <w:semiHidden/>
    <w:unhideWhenUsed/>
    <w:rsid w:val="007376B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99"/>
    <w:semiHidden/>
    <w:unhideWhenUsed/>
    <w:rsid w:val="007376B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99"/>
    <w:semiHidden/>
    <w:unhideWhenUsed/>
    <w:rsid w:val="007376B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Mention1">
    <w:name w:val="Mention1"/>
    <w:basedOn w:val="DefaultParagraphFont"/>
    <w:uiPriority w:val="99"/>
    <w:semiHidden/>
    <w:unhideWhenUsed/>
    <w:rsid w:val="007376B6"/>
    <w:rPr>
      <w:color w:val="2B579A"/>
      <w:shd w:val="clear" w:color="auto" w:fill="E1DFDD"/>
    </w:rPr>
  </w:style>
  <w:style w:type="table" w:styleId="PlainTable1">
    <w:name w:val="Plain Table 1"/>
    <w:basedOn w:val="TableNormal"/>
    <w:uiPriority w:val="99"/>
    <w:rsid w:val="007376B6"/>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2">
    <w:name w:val="Plain Table 2"/>
    <w:basedOn w:val="TableNormal"/>
    <w:uiPriority w:val="99"/>
    <w:rsid w:val="007376B6"/>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lainTable3">
    <w:name w:val="Plain Table 3"/>
    <w:basedOn w:val="TableNormal"/>
    <w:uiPriority w:val="99"/>
    <w:rsid w:val="007376B6"/>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4">
    <w:name w:val="Plain Table 4"/>
    <w:basedOn w:val="TableNormal"/>
    <w:uiPriority w:val="99"/>
    <w:rsid w:val="007376B6"/>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5">
    <w:name w:val="Plain Table 5"/>
    <w:basedOn w:val="TableNormal"/>
    <w:uiPriority w:val="99"/>
    <w:rsid w:val="007376B6"/>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customStyle="1" w:styleId="SmartHyperlink1">
    <w:name w:val="Smart Hyperlink1"/>
    <w:basedOn w:val="DefaultParagraphFont"/>
    <w:uiPriority w:val="99"/>
    <w:semiHidden/>
    <w:unhideWhenUsed/>
    <w:rsid w:val="007376B6"/>
    <w:rPr>
      <w:u w:val="dotted"/>
    </w:rPr>
  </w:style>
  <w:style w:type="character" w:customStyle="1" w:styleId="SmartLink1">
    <w:name w:val="SmartLink1"/>
    <w:basedOn w:val="DefaultParagraphFont"/>
    <w:uiPriority w:val="99"/>
    <w:semiHidden/>
    <w:unhideWhenUsed/>
    <w:rsid w:val="007376B6"/>
    <w:rPr>
      <w:color w:val="0000FF"/>
      <w:u w:val="single"/>
      <w:shd w:val="clear" w:color="auto" w:fill="F3F2F1"/>
    </w:rPr>
  </w:style>
  <w:style w:type="table" w:styleId="Table3Deffects1">
    <w:name w:val="Table 3D effects 1"/>
    <w:basedOn w:val="TableNormal"/>
    <w:uiPriority w:val="99"/>
    <w:semiHidden/>
    <w:unhideWhenUsed/>
    <w:rsid w:val="007376B6"/>
    <w:pPr>
      <w:spacing w:after="0" w:line="240" w:lineRule="auto"/>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semiHidden/>
    <w:unhideWhenUsed/>
    <w:rsid w:val="007376B6"/>
    <w:pPr>
      <w:spacing w:after="0" w:line="240" w:lineRule="auto"/>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uiPriority w:val="99"/>
    <w:semiHidden/>
    <w:unhideWhenUsed/>
    <w:rsid w:val="007376B6"/>
    <w:pPr>
      <w:spacing w:after="0" w:line="240" w:lineRule="auto"/>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uiPriority w:val="99"/>
    <w:semiHidden/>
    <w:unhideWhenUsed/>
    <w:rsid w:val="007376B6"/>
    <w:pPr>
      <w:spacing w:after="0" w:line="240" w:lineRule="auto"/>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uiPriority w:val="99"/>
    <w:semiHidden/>
    <w:unhideWhenUsed/>
    <w:rsid w:val="007376B6"/>
    <w:pPr>
      <w:spacing w:after="0" w:line="240" w:lineRule="auto"/>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uiPriority w:val="99"/>
    <w:semiHidden/>
    <w:unhideWhenUsed/>
    <w:rsid w:val="007376B6"/>
    <w:pPr>
      <w:spacing w:after="0" w:line="240" w:lineRule="auto"/>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semiHidden/>
    <w:unhideWhenUsed/>
    <w:rsid w:val="007376B6"/>
    <w:pPr>
      <w:spacing w:after="0" w:line="240" w:lineRule="auto"/>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uiPriority w:val="99"/>
    <w:semiHidden/>
    <w:unhideWhenUsed/>
    <w:rsid w:val="007376B6"/>
    <w:pPr>
      <w:spacing w:after="0" w:line="240" w:lineRule="auto"/>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semiHidden/>
    <w:unhideWhenUsed/>
    <w:rsid w:val="007376B6"/>
    <w:pPr>
      <w:spacing w:after="0" w:line="240" w:lineRule="auto"/>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semiHidden/>
    <w:unhideWhenUsed/>
    <w:rsid w:val="007376B6"/>
    <w:pPr>
      <w:spacing w:after="0" w:line="240" w:lineRule="auto"/>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semiHidden/>
    <w:unhideWhenUsed/>
    <w:rsid w:val="007376B6"/>
    <w:pPr>
      <w:spacing w:after="0" w:line="240" w:lineRule="auto"/>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uiPriority w:val="99"/>
    <w:semiHidden/>
    <w:unhideWhenUsed/>
    <w:rsid w:val="007376B6"/>
    <w:pPr>
      <w:spacing w:after="0" w:line="240" w:lineRule="auto"/>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uiPriority w:val="99"/>
    <w:semiHidden/>
    <w:unhideWhenUsed/>
    <w:rsid w:val="007376B6"/>
    <w:pPr>
      <w:spacing w:after="0" w:line="240" w:lineRule="auto"/>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uiPriority w:val="99"/>
    <w:semiHidden/>
    <w:unhideWhenUsed/>
    <w:rsid w:val="007376B6"/>
    <w:pPr>
      <w:spacing w:after="0" w:line="240" w:lineRule="auto"/>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uiPriority w:val="99"/>
    <w:semiHidden/>
    <w:unhideWhenUsed/>
    <w:rsid w:val="007376B6"/>
    <w:pPr>
      <w:spacing w:after="0" w:line="240" w:lineRule="auto"/>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uiPriority w:val="99"/>
    <w:semiHidden/>
    <w:unhideWhenUsed/>
    <w:rsid w:val="007376B6"/>
    <w:pPr>
      <w:spacing w:after="0" w:line="240" w:lineRule="auto"/>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semiHidden/>
    <w:unhideWhenUsed/>
    <w:rsid w:val="007376B6"/>
    <w:pPr>
      <w:spacing w:after="0" w:line="240" w:lineRule="auto"/>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basedOn w:val="TableNormal"/>
    <w:uiPriority w:val="39"/>
    <w:rsid w:val="007376B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1">
    <w:name w:val="Table Grid 1"/>
    <w:basedOn w:val="TableNormal"/>
    <w:uiPriority w:val="99"/>
    <w:semiHidden/>
    <w:unhideWhenUsed/>
    <w:rsid w:val="007376B6"/>
    <w:pPr>
      <w:spacing w:after="0" w:line="24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uiPriority w:val="99"/>
    <w:semiHidden/>
    <w:unhideWhenUsed/>
    <w:rsid w:val="007376B6"/>
    <w:pPr>
      <w:spacing w:after="0" w:line="240" w:lineRule="auto"/>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uiPriority w:val="99"/>
    <w:semiHidden/>
    <w:unhideWhenUsed/>
    <w:rsid w:val="007376B6"/>
    <w:pPr>
      <w:spacing w:after="0" w:line="240" w:lineRule="auto"/>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uiPriority w:val="99"/>
    <w:semiHidden/>
    <w:unhideWhenUsed/>
    <w:rsid w:val="007376B6"/>
    <w:pPr>
      <w:spacing w:after="0" w:line="240" w:lineRule="auto"/>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uiPriority w:val="99"/>
    <w:semiHidden/>
    <w:unhideWhenUsed/>
    <w:rsid w:val="007376B6"/>
    <w:pPr>
      <w:spacing w:after="0" w:line="240" w:lineRule="auto"/>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uiPriority w:val="99"/>
    <w:semiHidden/>
    <w:unhideWhenUsed/>
    <w:rsid w:val="007376B6"/>
    <w:pPr>
      <w:spacing w:after="0" w:line="240" w:lineRule="auto"/>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uiPriority w:val="99"/>
    <w:semiHidden/>
    <w:unhideWhenUsed/>
    <w:rsid w:val="007376B6"/>
    <w:pPr>
      <w:spacing w:after="0" w:line="240" w:lineRule="auto"/>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uiPriority w:val="99"/>
    <w:semiHidden/>
    <w:unhideWhenUsed/>
    <w:rsid w:val="007376B6"/>
    <w:pPr>
      <w:spacing w:after="0" w:line="240" w:lineRule="auto"/>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GridLight">
    <w:name w:val="Grid Table Light"/>
    <w:basedOn w:val="TableNormal"/>
    <w:uiPriority w:val="99"/>
    <w:rsid w:val="007376B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eList1">
    <w:name w:val="Table List 1"/>
    <w:basedOn w:val="TableNormal"/>
    <w:uiPriority w:val="99"/>
    <w:semiHidden/>
    <w:unhideWhenUsed/>
    <w:rsid w:val="007376B6"/>
    <w:pPr>
      <w:spacing w:after="0" w:line="240" w:lineRule="auto"/>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uiPriority w:val="99"/>
    <w:semiHidden/>
    <w:unhideWhenUsed/>
    <w:rsid w:val="007376B6"/>
    <w:pPr>
      <w:spacing w:after="0" w:line="240" w:lineRule="auto"/>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uiPriority w:val="99"/>
    <w:semiHidden/>
    <w:unhideWhenUsed/>
    <w:rsid w:val="007376B6"/>
    <w:pPr>
      <w:spacing w:after="0" w:line="240" w:lineRule="auto"/>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uiPriority w:val="99"/>
    <w:semiHidden/>
    <w:unhideWhenUsed/>
    <w:rsid w:val="007376B6"/>
    <w:pPr>
      <w:spacing w:after="0" w:line="240" w:lineRule="auto"/>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semiHidden/>
    <w:unhideWhenUsed/>
    <w:rsid w:val="007376B6"/>
    <w:pPr>
      <w:spacing w:after="0" w:line="240" w:lineRule="auto"/>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uiPriority w:val="99"/>
    <w:semiHidden/>
    <w:unhideWhenUsed/>
    <w:rsid w:val="007376B6"/>
    <w:pPr>
      <w:spacing w:after="0" w:line="240" w:lineRule="auto"/>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semiHidden/>
    <w:unhideWhenUsed/>
    <w:rsid w:val="007376B6"/>
    <w:pPr>
      <w:spacing w:after="0" w:line="240" w:lineRule="auto"/>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semiHidden/>
    <w:unhideWhenUsed/>
    <w:rsid w:val="007376B6"/>
    <w:pPr>
      <w:spacing w:after="0" w:line="240" w:lineRule="auto"/>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uiPriority w:val="99"/>
    <w:semiHidden/>
    <w:unhideWhenUsed/>
    <w:rsid w:val="007376B6"/>
    <w:pPr>
      <w:spacing w:after="0" w:line="240"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uiPriority w:val="99"/>
    <w:semiHidden/>
    <w:unhideWhenUsed/>
    <w:rsid w:val="007376B6"/>
    <w:pPr>
      <w:spacing w:after="0" w:line="240" w:lineRule="auto"/>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semiHidden/>
    <w:unhideWhenUsed/>
    <w:rsid w:val="007376B6"/>
    <w:pPr>
      <w:spacing w:after="0" w:line="240" w:lineRule="auto"/>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uiPriority w:val="99"/>
    <w:semiHidden/>
    <w:unhideWhenUsed/>
    <w:rsid w:val="007376B6"/>
    <w:pPr>
      <w:spacing w:after="0" w:line="240" w:lineRule="auto"/>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uiPriority w:val="99"/>
    <w:semiHidden/>
    <w:unhideWhenUsed/>
    <w:rsid w:val="007376B6"/>
    <w:pPr>
      <w:spacing w:after="0" w:line="240" w:lineRule="auto"/>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uiPriority w:val="99"/>
    <w:semiHidden/>
    <w:unhideWhenUsed/>
    <w:rsid w:val="007376B6"/>
    <w:pPr>
      <w:spacing w:after="0" w:line="240" w:lineRule="auto"/>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uiPriority w:val="99"/>
    <w:semiHidden/>
    <w:unhideWhenUsed/>
    <w:rsid w:val="007376B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uiPriority w:val="99"/>
    <w:semiHidden/>
    <w:unhideWhenUsed/>
    <w:rsid w:val="007376B6"/>
    <w:pPr>
      <w:spacing w:after="0" w:line="240" w:lineRule="auto"/>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uiPriority w:val="99"/>
    <w:semiHidden/>
    <w:unhideWhenUsed/>
    <w:rsid w:val="007376B6"/>
    <w:pPr>
      <w:spacing w:after="0" w:line="240" w:lineRule="auto"/>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uiPriority w:val="99"/>
    <w:semiHidden/>
    <w:unhideWhenUsed/>
    <w:rsid w:val="007376B6"/>
    <w:pPr>
      <w:spacing w:after="0" w:line="240" w:lineRule="auto"/>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customStyle="1" w:styleId="UnresolvedMention1">
    <w:name w:val="Unresolved Mention1"/>
    <w:basedOn w:val="DefaultParagraphFont"/>
    <w:uiPriority w:val="99"/>
    <w:semiHidden/>
    <w:unhideWhenUsed/>
    <w:rsid w:val="007376B6"/>
    <w:rPr>
      <w:color w:val="605E5C"/>
      <w:shd w:val="clear" w:color="auto" w:fill="E1DFDD"/>
    </w:rPr>
  </w:style>
  <w:style w:type="character" w:styleId="UnresolvedMention">
    <w:name w:val="Unresolved Mention"/>
    <w:basedOn w:val="DefaultParagraphFont"/>
    <w:uiPriority w:val="99"/>
    <w:rsid w:val="00AF6598"/>
    <w:rPr>
      <w:color w:val="605E5C"/>
      <w:shd w:val="clear" w:color="auto" w:fill="E1DFDD"/>
    </w:rPr>
  </w:style>
  <w:style w:type="paragraph" w:styleId="Revision">
    <w:name w:val="Revision"/>
    <w:hidden/>
    <w:uiPriority w:val="99"/>
    <w:semiHidden/>
    <w:rsid w:val="00AC4E81"/>
    <w:pPr>
      <w:spacing w:after="0" w:line="240" w:lineRule="auto"/>
    </w:pPr>
    <w:rPr>
      <w:rFonts w:ascii="Arial" w:hAnsi="Arial" w:cs="Arial"/>
      <w:sz w:val="18"/>
      <w:szCs w:val="18"/>
      <w:lang w:val="en-GB"/>
    </w:rPr>
  </w:style>
  <w:style w:type="character" w:customStyle="1" w:styleId="cf01">
    <w:name w:val="cf01"/>
    <w:basedOn w:val="DefaultParagraphFont"/>
    <w:rsid w:val="00342ACA"/>
    <w:rPr>
      <w:rFonts w:ascii="Segoe UI" w:hAnsi="Segoe UI" w:cs="Segoe UI" w:hint="default"/>
      <w:sz w:val="18"/>
      <w:szCs w:val="18"/>
    </w:rPr>
  </w:style>
  <w:style w:type="paragraph" w:customStyle="1" w:styleId="pf0">
    <w:name w:val="pf0"/>
    <w:basedOn w:val="Normal"/>
    <w:rsid w:val="005D24B6"/>
    <w:pPr>
      <w:spacing w:before="100" w:beforeAutospacing="1" w:after="100" w:afterAutospacing="1"/>
    </w:pPr>
    <w:rPr>
      <w:rFonts w:ascii="Times New Roman" w:eastAsia="Times New Roman" w:hAnsi="Times New Roman" w:cs="Times New Roman"/>
      <w:sz w:val="24"/>
      <w:szCs w:val="24"/>
      <w:lang w:val="en-US" w:eastAsia="en-US"/>
    </w:rPr>
  </w:style>
  <w:style w:type="character" w:customStyle="1" w:styleId="cf11">
    <w:name w:val="cf11"/>
    <w:basedOn w:val="DefaultParagraphFont"/>
    <w:rsid w:val="00902B09"/>
    <w:rPr>
      <w:rFonts w:ascii="Segoe UI" w:hAnsi="Segoe UI" w:cs="Segoe UI" w:hint="default"/>
      <w:color w:val="292929"/>
      <w:sz w:val="18"/>
      <w:szCs w:val="18"/>
      <w:shd w:val="clear" w:color="auto" w:fill="FFFFF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9901486">
      <w:bodyDiv w:val="1"/>
      <w:marLeft w:val="0"/>
      <w:marRight w:val="0"/>
      <w:marTop w:val="0"/>
      <w:marBottom w:val="0"/>
      <w:divBdr>
        <w:top w:val="none" w:sz="0" w:space="0" w:color="auto"/>
        <w:left w:val="none" w:sz="0" w:space="0" w:color="auto"/>
        <w:bottom w:val="none" w:sz="0" w:space="0" w:color="auto"/>
        <w:right w:val="none" w:sz="0" w:space="0" w:color="auto"/>
      </w:divBdr>
    </w:div>
    <w:div w:id="1241057873">
      <w:bodyDiv w:val="1"/>
      <w:marLeft w:val="0"/>
      <w:marRight w:val="0"/>
      <w:marTop w:val="0"/>
      <w:marBottom w:val="0"/>
      <w:divBdr>
        <w:top w:val="none" w:sz="0" w:space="0" w:color="auto"/>
        <w:left w:val="none" w:sz="0" w:space="0" w:color="auto"/>
        <w:bottom w:val="none" w:sz="0" w:space="0" w:color="auto"/>
        <w:right w:val="none" w:sz="0" w:space="0" w:color="auto"/>
      </w:divBdr>
    </w:div>
    <w:div w:id="1460221870">
      <w:bodyDiv w:val="1"/>
      <w:marLeft w:val="0"/>
      <w:marRight w:val="0"/>
      <w:marTop w:val="0"/>
      <w:marBottom w:val="0"/>
      <w:divBdr>
        <w:top w:val="none" w:sz="0" w:space="0" w:color="auto"/>
        <w:left w:val="none" w:sz="0" w:space="0" w:color="auto"/>
        <w:bottom w:val="none" w:sz="0" w:space="0" w:color="auto"/>
        <w:right w:val="none" w:sz="0" w:space="0" w:color="auto"/>
      </w:divBdr>
    </w:div>
    <w:div w:id="1498154547">
      <w:bodyDiv w:val="1"/>
      <w:marLeft w:val="0"/>
      <w:marRight w:val="0"/>
      <w:marTop w:val="0"/>
      <w:marBottom w:val="0"/>
      <w:divBdr>
        <w:top w:val="none" w:sz="0" w:space="0" w:color="auto"/>
        <w:left w:val="none" w:sz="0" w:space="0" w:color="auto"/>
        <w:bottom w:val="none" w:sz="0" w:space="0" w:color="auto"/>
        <w:right w:val="none" w:sz="0" w:space="0" w:color="auto"/>
      </w:divBdr>
    </w:div>
    <w:div w:id="1515806523">
      <w:bodyDiv w:val="1"/>
      <w:marLeft w:val="0"/>
      <w:marRight w:val="0"/>
      <w:marTop w:val="0"/>
      <w:marBottom w:val="0"/>
      <w:divBdr>
        <w:top w:val="none" w:sz="0" w:space="0" w:color="auto"/>
        <w:left w:val="none" w:sz="0" w:space="0" w:color="auto"/>
        <w:bottom w:val="none" w:sz="0" w:space="0" w:color="auto"/>
        <w:right w:val="none" w:sz="0" w:space="0" w:color="auto"/>
      </w:divBdr>
    </w:div>
    <w:div w:id="2144688430">
      <w:bodyDiv w:val="1"/>
      <w:marLeft w:val="0"/>
      <w:marRight w:val="0"/>
      <w:marTop w:val="0"/>
      <w:marBottom w:val="0"/>
      <w:divBdr>
        <w:top w:val="none" w:sz="0" w:space="0" w:color="auto"/>
        <w:left w:val="none" w:sz="0" w:space="0" w:color="auto"/>
        <w:bottom w:val="none" w:sz="0" w:space="0" w:color="auto"/>
        <w:right w:val="none" w:sz="0" w:space="0" w:color="auto"/>
      </w:divBdr>
    </w:div>
  </w:divs>
  <w:doNotRelyOnCSS/>
  <w:doNotOrganizeInFolder/>
  <w:doNotUseLongFileNames/>
  <w:pixelsPerInch w:val="0"/>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emf"/><Relationship Id="rId18" Type="http://schemas.openxmlformats.org/officeDocument/2006/relationships/package" Target="embeddings/Microsoft_Excel_Worksheet1.xlsx"/><Relationship Id="rId26" Type="http://schemas.openxmlformats.org/officeDocument/2006/relationships/package" Target="embeddings/Microsoft_Excel_Worksheet5.xlsx"/><Relationship Id="rId3" Type="http://schemas.openxmlformats.org/officeDocument/2006/relationships/customXml" Target="../customXml/item2.xml"/><Relationship Id="rId21" Type="http://schemas.openxmlformats.org/officeDocument/2006/relationships/image" Target="media/image5.emf"/><Relationship Id="rId34" Type="http://schemas.openxmlformats.org/officeDocument/2006/relationships/theme" Target="theme/theme1.xml"/><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3.emf"/><Relationship Id="rId25" Type="http://schemas.openxmlformats.org/officeDocument/2006/relationships/image" Target="media/image7.emf"/><Relationship Id="rId33" Type="http://schemas.openxmlformats.org/officeDocument/2006/relationships/fontTable" Target="fontTable.xml"/><Relationship Id="rId2" Type="http://schemas.openxmlformats.org/officeDocument/2006/relationships/customXml" Target="../customXml/item1.xml"/><Relationship Id="rId16" Type="http://schemas.openxmlformats.org/officeDocument/2006/relationships/package" Target="embeddings/Microsoft_Word_Document.docx"/><Relationship Id="rId20" Type="http://schemas.openxmlformats.org/officeDocument/2006/relationships/package" Target="embeddings/Microsoft_Excel_Worksheet2.xlsx"/><Relationship Id="rId29" Type="http://schemas.openxmlformats.org/officeDocument/2006/relationships/footer" Target="footer1.xml"/><Relationship Id="rId1" Type="http://schemas.microsoft.com/office/2006/relationships/keyMapCustomizations" Target="customizations.xml"/><Relationship Id="rId6" Type="http://schemas.openxmlformats.org/officeDocument/2006/relationships/customXml" Target="../customXml/item5.xml"/><Relationship Id="rId11" Type="http://schemas.openxmlformats.org/officeDocument/2006/relationships/footnotes" Target="footnotes.xml"/><Relationship Id="rId24" Type="http://schemas.openxmlformats.org/officeDocument/2006/relationships/package" Target="embeddings/Microsoft_Word_Document4.docx"/><Relationship Id="rId32" Type="http://schemas.openxmlformats.org/officeDocument/2006/relationships/footer" Target="footer3.xml"/><Relationship Id="rId5" Type="http://schemas.openxmlformats.org/officeDocument/2006/relationships/customXml" Target="../customXml/item4.xml"/><Relationship Id="rId15" Type="http://schemas.openxmlformats.org/officeDocument/2006/relationships/image" Target="media/image2.emf"/><Relationship Id="rId23" Type="http://schemas.openxmlformats.org/officeDocument/2006/relationships/image" Target="media/image6.emf"/><Relationship Id="rId28" Type="http://schemas.openxmlformats.org/officeDocument/2006/relationships/header" Target="header2.xml"/><Relationship Id="rId10" Type="http://schemas.openxmlformats.org/officeDocument/2006/relationships/webSettings" Target="webSettings.xml"/><Relationship Id="rId19" Type="http://schemas.openxmlformats.org/officeDocument/2006/relationships/image" Target="media/image4.emf"/><Relationship Id="rId31" Type="http://schemas.openxmlformats.org/officeDocument/2006/relationships/header" Target="header3.xml"/><Relationship Id="rId4" Type="http://schemas.openxmlformats.org/officeDocument/2006/relationships/customXml" Target="../customXml/item3.xml"/><Relationship Id="rId9" Type="http://schemas.openxmlformats.org/officeDocument/2006/relationships/settings" Target="settings.xml"/><Relationship Id="rId14" Type="http://schemas.openxmlformats.org/officeDocument/2006/relationships/package" Target="embeddings/Microsoft_Excel_Worksheet.xlsx"/><Relationship Id="rId22" Type="http://schemas.openxmlformats.org/officeDocument/2006/relationships/package" Target="embeddings/Microsoft_Excel_Worksheet3.xlsx"/><Relationship Id="rId27" Type="http://schemas.openxmlformats.org/officeDocument/2006/relationships/header" Target="header1.xml"/><Relationship Id="rId30"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_rels/header3.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root>
  <Tag name="DgLegalInformation01"/>
  <Tag name="eFormsAipLabel">DNV Restricted</Tag>
</root>
</file>

<file path=customXml/item2.xml><?xml version="1.0" encoding="utf-8"?>
<ct:contentTypeSchema xmlns:ct="http://schemas.microsoft.com/office/2006/metadata/contentType" xmlns:ma="http://schemas.microsoft.com/office/2006/metadata/properties/metaAttributes" ct:_="" ma:_="" ma:contentTypeName="Document" ma:contentTypeID="0x01010055C08E46F6001E44A80FA2AA80260DE1" ma:contentTypeVersion="14" ma:contentTypeDescription="Create a new document." ma:contentTypeScope="" ma:versionID="6466f6ff4076ef772ca336fbe6b00775">
  <xsd:schema xmlns:xsd="http://www.w3.org/2001/XMLSchema" xmlns:xs="http://www.w3.org/2001/XMLSchema" xmlns:p="http://schemas.microsoft.com/office/2006/metadata/properties" xmlns:ns2="cbde02a2-406c-407c-ab3b-d81f71e8ebcb" xmlns:ns3="3d61684e-371d-469e-93fe-121af54884da" targetNamespace="http://schemas.microsoft.com/office/2006/metadata/properties" ma:root="true" ma:fieldsID="08cb2cecec4af493a181a56ffb60374c" ns2:_="" ns3:_="">
    <xsd:import namespace="cbde02a2-406c-407c-ab3b-d81f71e8ebcb"/>
    <xsd:import namespace="3d61684e-371d-469e-93fe-121af54884da"/>
    <xsd:element name="properties">
      <xsd:complexType>
        <xsd:sequence>
          <xsd:element name="documentManagement">
            <xsd:complexType>
              <xsd:all>
                <xsd:element ref="ns2:MediaServiceMetadata" minOccurs="0"/>
                <xsd:element ref="ns2:MediaServiceFastMetadata" minOccurs="0"/>
                <xsd:element ref="ns2:MediaServiceGenerationTime" minOccurs="0"/>
                <xsd:element ref="ns2:MediaServiceEventHashCode" minOccurs="0"/>
                <xsd:element ref="ns2:MediaServiceDateTaken" minOccurs="0"/>
                <xsd:element ref="ns2:MediaServiceLocation" minOccurs="0"/>
                <xsd:element ref="ns2:MediaServiceAutoKeyPoints" minOccurs="0"/>
                <xsd:element ref="ns2:MediaServiceKeyPoints" minOccurs="0"/>
                <xsd:element ref="ns2:MediaServiceOCR" minOccurs="0"/>
                <xsd:element ref="ns2:lcf76f155ced4ddcb4097134ff3c332f" minOccurs="0"/>
                <xsd:element ref="ns3:TaxCatchAll"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bde02a2-406c-407c-ab3b-d81f71e8ebc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GenerationTime" ma:index="10" nillable="true" ma:displayName="MediaServiceGenerationTime" ma:hidden="true" ma:internalName="MediaServiceGenerationTime" ma:readOnly="true">
      <xsd:simpleType>
        <xsd:restriction base="dms:Text"/>
      </xsd:simpleType>
    </xsd:element>
    <xsd:element name="MediaServiceEventHashCode" ma:index="11" nillable="true" ma:displayName="MediaServiceEventHashCode" ma:hidden="true" ma:internalName="MediaServiceEventHashCode" ma:readOnly="true">
      <xsd:simpleType>
        <xsd:restriction base="dms:Text"/>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9cdeb642-990e-4182-adc1-0db5301df73e" ma:termSetId="09814cd3-568e-fe90-9814-8d621ff8fb84" ma:anchorId="fba54fb3-c3e1-fe81-a776-ca4b69148c4d" ma:open="true" ma:isKeyword="false">
      <xsd:complexType>
        <xsd:sequence>
          <xsd:element ref="pc:Terms" minOccurs="0" maxOccurs="1"/>
        </xsd:sequence>
      </xsd:complexType>
    </xsd:element>
    <xsd:element name="MediaLengthInSeconds" ma:index="20"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3d61684e-371d-469e-93fe-121af54884da"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c01f5162-cd5c-4cf7-9d4f-a6dc73787c17}" ma:internalName="TaxCatchAll" ma:showField="CatchAllData" ma:web="3d61684e-371d-469e-93fe-121af54884d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cbde02a2-406c-407c-ab3b-d81f71e8ebcb">
      <Terms xmlns="http://schemas.microsoft.com/office/infopath/2007/PartnerControls"/>
    </lcf76f155ced4ddcb4097134ff3c332f>
    <TaxCatchAll xmlns="3d61684e-371d-469e-93fe-121af54884da"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029A3B5-D657-4AA5-9E45-B6A04861E290}">
  <ds:schemaRefs/>
</ds:datastoreItem>
</file>

<file path=customXml/itemProps2.xml><?xml version="1.0" encoding="utf-8"?>
<ds:datastoreItem xmlns:ds="http://schemas.openxmlformats.org/officeDocument/2006/customXml" ds:itemID="{F1F74F9D-9205-4748-BCF4-76AF985F60E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bde02a2-406c-407c-ab3b-d81f71e8ebcb"/>
    <ds:schemaRef ds:uri="3d61684e-371d-469e-93fe-121af54884d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A688FE3-9C3A-4CCB-BDCB-032C9A545911}">
  <ds:schemaRefs>
    <ds:schemaRef ds:uri="http://schemas.microsoft.com/office/2006/metadata/properties"/>
    <ds:schemaRef ds:uri="http://schemas.microsoft.com/office/infopath/2007/PartnerControls"/>
    <ds:schemaRef ds:uri="cbde02a2-406c-407c-ab3b-d81f71e8ebcb"/>
    <ds:schemaRef ds:uri="3d61684e-371d-469e-93fe-121af54884da"/>
  </ds:schemaRefs>
</ds:datastoreItem>
</file>

<file path=customXml/itemProps4.xml><?xml version="1.0" encoding="utf-8"?>
<ds:datastoreItem xmlns:ds="http://schemas.openxmlformats.org/officeDocument/2006/customXml" ds:itemID="{18C2EBFC-AA27-411E-9CED-15690248BB1C}">
  <ds:schemaRefs>
    <ds:schemaRef ds:uri="http://schemas.openxmlformats.org/officeDocument/2006/bibliography"/>
  </ds:schemaRefs>
</ds:datastoreItem>
</file>

<file path=customXml/itemProps5.xml><?xml version="1.0" encoding="utf-8"?>
<ds:datastoreItem xmlns:ds="http://schemas.openxmlformats.org/officeDocument/2006/customXml" ds:itemID="{C6E0A7F1-CCD7-4703-A83F-4728082B27A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7</Pages>
  <Words>3566</Words>
  <Characters>20384</Characters>
  <Application>Microsoft Office Word</Application>
  <DocSecurity>0</DocSecurity>
  <Lines>169</Lines>
  <Paragraphs>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23903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Richard, Kerri-Ann</dc:creator>
  <cp:lastModifiedBy>Gopalan, Varuna</cp:lastModifiedBy>
  <cp:revision>2</cp:revision>
  <dcterms:created xsi:type="dcterms:W3CDTF">2023-07-14T17:18:00Z</dcterms:created>
  <dcterms:modified xsi:type="dcterms:W3CDTF">2023-07-14T17:18:00Z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B build">
    <vt:lpwstr>20210215 082047</vt:lpwstr>
  </property>
  <property fmtid="{D5CDD505-2E9C-101B-9397-08002B2CF9AE}" pid="3" name="TB filename">
    <vt:lpwstr>COR004.dotx</vt:lpwstr>
  </property>
  <property fmtid="{D5CDD505-2E9C-101B-9397-08002B2CF9AE}" pid="4" name="TB id">
    <vt:lpwstr>7323</vt:lpwstr>
  </property>
  <property fmtid="{D5CDD505-2E9C-101B-9397-08002B2CF9AE}" pid="5" name="TB name">
    <vt:lpwstr>COR 004</vt:lpwstr>
  </property>
  <property fmtid="{D5CDD505-2E9C-101B-9397-08002B2CF9AE}" pid="6" name="ContentTypeId">
    <vt:lpwstr>0x01010055C08E46F6001E44A80FA2AA80260DE1</vt:lpwstr>
  </property>
  <property fmtid="{D5CDD505-2E9C-101B-9397-08002B2CF9AE}" pid="7" name="MSIP_Label_48141450-2387-4aca-b41f-19cd6be9dd3c_Enabled">
    <vt:lpwstr>true</vt:lpwstr>
  </property>
  <property fmtid="{D5CDD505-2E9C-101B-9397-08002B2CF9AE}" pid="8" name="MSIP_Label_48141450-2387-4aca-b41f-19cd6be9dd3c_SetDate">
    <vt:lpwstr>2022-09-20T13:28:55Z</vt:lpwstr>
  </property>
  <property fmtid="{D5CDD505-2E9C-101B-9397-08002B2CF9AE}" pid="9" name="MSIP_Label_48141450-2387-4aca-b41f-19cd6be9dd3c_Method">
    <vt:lpwstr>Standard</vt:lpwstr>
  </property>
  <property fmtid="{D5CDD505-2E9C-101B-9397-08002B2CF9AE}" pid="10" name="MSIP_Label_48141450-2387-4aca-b41f-19cd6be9dd3c_Name">
    <vt:lpwstr>Restricted_Unprotected</vt:lpwstr>
  </property>
  <property fmtid="{D5CDD505-2E9C-101B-9397-08002B2CF9AE}" pid="11" name="MSIP_Label_48141450-2387-4aca-b41f-19cd6be9dd3c_SiteId">
    <vt:lpwstr>adf10e2b-b6e9-41d6-be2f-c12bb566019c</vt:lpwstr>
  </property>
  <property fmtid="{D5CDD505-2E9C-101B-9397-08002B2CF9AE}" pid="12" name="MSIP_Label_48141450-2387-4aca-b41f-19cd6be9dd3c_ActionId">
    <vt:lpwstr>88886f33-70f0-42f3-b2cc-6a17737b9de2</vt:lpwstr>
  </property>
  <property fmtid="{D5CDD505-2E9C-101B-9397-08002B2CF9AE}" pid="13" name="MSIP_Label_48141450-2387-4aca-b41f-19cd6be9dd3c_ContentBits">
    <vt:lpwstr>0</vt:lpwstr>
  </property>
</Properties>
</file>